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Break Management Guide</w:t>
      </w:r>
    </w:p>
    <w:p>
      <w:pPr>
        <w:pStyle w:val="Heading1"/>
      </w:pPr>
      <w:r>
        <w:t>Priority</w:t>
      </w:r>
    </w:p>
    <w:p>
      <w:r>
        <w:t>High-priority breaks include same-day settlement failures, large cash differences and regulatory-impacting discrepancies.</w:t>
      </w:r>
    </w:p>
    <w:p>
      <w:pPr>
        <w:pStyle w:val="Heading1"/>
      </w:pPr>
      <w:r>
        <w:t>Investigation</w:t>
      </w:r>
    </w:p>
    <w:p>
      <w:r>
        <w:t>Compare trade capture, confirmation, settlement instruction, external statement and accounting records.</w:t>
      </w:r>
    </w:p>
    <w:p>
      <w:pPr>
        <w:pStyle w:val="Heading1"/>
      </w:pPr>
      <w:r>
        <w:t>Closure</w:t>
      </w:r>
    </w:p>
    <w:p>
      <w:r>
        <w:t>Every closed break should contain root cause, corrective action, owner and closure timestamp.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