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EOD Operations Runbook</w:t>
      </w:r>
    </w:p>
    <w:p>
      <w:pPr>
        <w:pStyle w:val="Heading1"/>
      </w:pPr>
      <w:r>
        <w:t>Job Monitoring</w:t>
      </w:r>
    </w:p>
    <w:p>
      <w:r>
        <w:t>Monitor job completion and dependency status. Do not rerun a failed job blindly when downstream processing has already started.</w:t>
      </w:r>
    </w:p>
    <w:p>
      <w:pPr>
        <w:pStyle w:val="Heading1"/>
      </w:pPr>
      <w:r>
        <w:t>Common Failure</w:t>
      </w:r>
    </w:p>
    <w:p>
      <w:r>
        <w:t>Reference-data load failure can cause position or settlement calculations to use stale information.</w:t>
      </w:r>
    </w:p>
    <w:p>
      <w:pPr>
        <w:pStyle w:val="Heading1"/>
      </w:pPr>
      <w:r>
        <w:t>Escalation</w:t>
      </w:r>
    </w:p>
    <w:p>
      <w:r>
        <w:t>Critical failures affecting accounting or regulatory output must be escalated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