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Trade Matching Rules</w:t>
      </w:r>
    </w:p>
    <w:p>
      <w:pPr>
        <w:pStyle w:val="Heading1"/>
      </w:pPr>
      <w:r>
        <w:t>Exact Match</w:t>
      </w:r>
    </w:p>
    <w:p>
      <w:r>
        <w:t>Security ID, side, currency and counterparty must match exactly.</w:t>
      </w:r>
    </w:p>
    <w:p>
      <w:pPr>
        <w:pStyle w:val="Heading1"/>
      </w:pPr>
      <w:r>
        <w:t>Tolerance</w:t>
      </w:r>
    </w:p>
    <w:p>
      <w:r>
        <w:t>Price tolerance may be permitted for specific asset classes. Quantity tolerance is not permitted unless explicitly configured for the client.</w:t>
      </w:r>
    </w:p>
    <w:p>
      <w:pPr>
        <w:pStyle w:val="Heading1"/>
      </w:pPr>
      <w:r>
        <w:t>Escalation</w:t>
      </w:r>
    </w:p>
    <w:p>
      <w:r>
        <w:t>Unresolved high-value or same-day settlement breaks should be escalated to the operations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