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Data Rules</w:t>
      </w:r>
    </w:p>
    <w:p>
      <w:pPr>
        <w:pStyle w:val="Heading1"/>
      </w:pPr>
      <w:r>
        <w:t>Security Identifier</w:t>
      </w:r>
    </w:p>
    <w:p>
      <w:r>
        <w:t>The internal security ID must map to the approved external identifier.</w:t>
      </w:r>
    </w:p>
    <w:p>
      <w:pPr>
        <w:pStyle w:val="Heading1"/>
      </w:pPr>
      <w:r>
        <w:t>Effective Dates</w:t>
      </w:r>
    </w:p>
    <w:p>
      <w:r>
        <w:t>Do not overwrite historical reference data when the change should apply only from a future effective date.</w:t>
      </w:r>
    </w:p>
    <w:p>
      <w:pPr>
        <w:pStyle w:val="Heading1"/>
      </w:pPr>
      <w:r>
        <w:t>Validation</w:t>
      </w:r>
    </w:p>
    <w:p>
      <w:r>
        <w:t>Mandatory fields must be checked before a security becomes eligible for downstream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