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Settlement Operations Runbook</w:t>
      </w:r>
    </w:p>
    <w:p>
      <w:pPr>
        <w:pStyle w:val="Heading1"/>
      </w:pPr>
      <w:r>
        <w:t>Instruction Creation</w:t>
      </w:r>
    </w:p>
    <w:p>
      <w:r>
        <w:t>Only matched trades with valid settlement instructions should generate settlement instructions.</w:t>
      </w:r>
    </w:p>
    <w:p>
      <w:pPr>
        <w:pStyle w:val="Heading1"/>
      </w:pPr>
      <w:r>
        <w:t>Status Monitoring</w:t>
      </w:r>
    </w:p>
    <w:p>
      <w:r>
        <w:t>Pending instructions must be monitored against market and client cutoff times.</w:t>
      </w:r>
    </w:p>
    <w:p>
      <w:pPr>
        <w:pStyle w:val="Heading1"/>
      </w:pPr>
      <w:r>
        <w:t>Failed Settlement</w:t>
      </w:r>
    </w:p>
    <w:p>
      <w:r>
        <w:t>Record the failure reason, determine whether the root cause is static data, cash, securities availability, counterparty mismatch or market infrastructure, then follow the applicable escalation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