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Trade Processing SOP</w:t>
      </w:r>
    </w:p>
    <w:p>
      <w:pPr>
        <w:pStyle w:val="Heading1"/>
      </w:pPr>
      <w:r>
        <w:t>Trade Capture</w:t>
      </w:r>
    </w:p>
    <w:p>
      <w:r>
        <w:t>Confirm that the trade has been received from the front-office source and assigned a unique trade ID.</w:t>
      </w:r>
    </w:p>
    <w:p>
      <w:r>
        <w:t>Validate instrument, quantity, price, trade date, settlement date, counterparty and buy/sell indicator.</w:t>
      </w:r>
    </w:p>
    <w:p>
      <w:pPr>
        <w:pStyle w:val="Heading1"/>
      </w:pPr>
      <w:r>
        <w:t>Enrichment</w:t>
      </w:r>
    </w:p>
    <w:p>
      <w:r>
        <w:t>Apply security master, counterparty and settlement-instruction data. Missing mandatory reference data should create an exception.</w:t>
      </w:r>
    </w:p>
    <w:p>
      <w:pPr>
        <w:pStyle w:val="Heading1"/>
      </w:pPr>
      <w:r>
        <w:t>Post-Capture Checks</w:t>
      </w:r>
    </w:p>
    <w:p>
      <w:r>
        <w:t>Trades with invalid economics or missing mandatory fields must not progress to settlement until the exception is resolved.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