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40" w:lineRule="auto"/>
        <w:jc w:val="left"/>
      </w:pPr>
      <w:r>
        <w:rPr>
          <w:rFonts w:ascii="Aptos Display" w:hAnsi="Aptos Display"/>
          <w:b/>
          <w:i w:val="0"/>
          <w:color w:val="000000"/>
          <w:sz w:val="46"/>
        </w:rPr>
        <w:t>Trading Strategy Recommendations</w:t>
      </w:r>
    </w:p>
    <w:p>
      <w:pPr>
        <w:spacing w:before="0" w:after="260" w:line="259" w:lineRule="auto"/>
      </w:pPr>
      <w:r>
        <w:rPr>
          <w:rFonts w:ascii="Aptos" w:hAnsi="Aptos"/>
          <w:b w:val="0"/>
          <w:i w:val="0"/>
          <w:color w:val="505050"/>
          <w:sz w:val="24"/>
        </w:rPr>
        <w:t>SMA Trend, OptiTrade, and Aroon for JStockGenie</w:t>
      </w:r>
    </w:p>
    <w:p>
      <w:pPr>
        <w:spacing w:before="0" w:after="140" w:line="259" w:lineRule="auto"/>
      </w:pPr>
      <w:r>
        <w:rPr>
          <w:rFonts w:ascii="Aptos" w:hAnsi="Aptos"/>
          <w:b w:val="0"/>
          <w:i w:val="0"/>
          <w:color w:val="000000"/>
          <w:sz w:val="21"/>
        </w:rPr>
        <w:t>This memo recommends how to combine the three available indicators for next-session trading, swing trading, and long-term investing. The central recommendation is to use SMA Trend for the slower trend decision, OptiTrade for confirmation, and Aroon for timing or risk warnings.</w:t>
      </w:r>
    </w:p>
    <w:p>
      <w:pPr>
        <w:pStyle w:val="Heading1"/>
        <w:spacing w:before="200" w:after="100" w:line="259" w:lineRule="auto"/>
      </w:pPr>
      <w:r>
        <w:rPr>
          <w:rFonts w:ascii="Aptos" w:hAnsi="Aptos"/>
          <w:b/>
          <w:i w:val="0"/>
          <w:color w:val="000000"/>
          <w:sz w:val="28"/>
        </w:rPr>
        <w:t>Executive Recommendation</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7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Approach</w:t>
            </w:r>
          </w:p>
        </w:tc>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Primary</w:t>
            </w:r>
          </w:p>
        </w:tc>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Confirmation</w:t>
            </w:r>
          </w:p>
        </w:tc>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Aroon role</w:t>
            </w:r>
          </w:p>
        </w:tc>
        <w:tc>
          <w:tcPr>
            <w:tcW w:type="dxa" w:w="28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Default action</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Day or next-session</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OptiTrade DAILY</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SMA Trend DAILY</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Entry and exit timing</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Long only; exit on deterioration</w:t>
            </w:r>
          </w:p>
        </w:tc>
      </w:tr>
      <w:tr>
        <w:tc>
          <w:tcPr>
            <w:tcW w:type="dxa" w:w="172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Swing trading</w:t>
            </w:r>
          </w:p>
        </w:tc>
        <w:tc>
          <w:tcPr>
            <w:tcW w:type="dxa" w:w="194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SMA Trend WEEKLY</w:t>
            </w:r>
          </w:p>
        </w:tc>
        <w:tc>
          <w:tcPr>
            <w:tcW w:type="dxa" w:w="208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OptiTrade WEEKLY</w:t>
            </w:r>
          </w:p>
        </w:tc>
        <w:tc>
          <w:tcPr>
            <w:tcW w:type="dxa" w:w="2232"/>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Reversal confirmation</w:t>
            </w:r>
          </w:p>
        </w:tc>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Hold while weekly trend agrees</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Investment</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SMA Trend MONTHLY</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OptiTrade MONTHLY</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Risk warning</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Buy, add, or pause new purchases</w:t>
            </w:r>
          </w:p>
        </w:tc>
      </w:tr>
    </w:tbl>
    <w:p>
      <w:pPr>
        <w:spacing w:after="20"/>
      </w:pPr>
    </w:p>
    <w:p>
      <w:pPr>
        <w:pStyle w:val="Heading1"/>
        <w:spacing w:before="200" w:after="100" w:line="259" w:lineRule="auto"/>
      </w:pPr>
      <w:r>
        <w:rPr>
          <w:rFonts w:ascii="Aptos" w:hAnsi="Aptos"/>
          <w:b/>
          <w:i w:val="0"/>
          <w:color w:val="000000"/>
          <w:sz w:val="28"/>
        </w:rPr>
        <w:t>Day Or Next Session Trading</w:t>
      </w:r>
    </w:p>
    <w:p>
      <w:pPr>
        <w:spacing w:before="0" w:after="140" w:line="259" w:lineRule="auto"/>
      </w:pPr>
      <w:r>
        <w:rPr>
          <w:rFonts w:ascii="Aptos" w:hAnsi="Aptos"/>
          <w:b w:val="0"/>
          <w:i w:val="0"/>
          <w:color w:val="000000"/>
          <w:sz w:val="21"/>
        </w:rPr>
        <w:t>Daily EOD data supports decisions for the next trading session. It does not provide true intraday day-trading signals because the indicator values are not available during the session.</w:t>
      </w:r>
    </w:p>
    <w:p>
      <w:pPr>
        <w:spacing w:before="0" w:after="140" w:line="259" w:lineRule="auto"/>
      </w:pPr>
      <w:r>
        <w:rPr>
          <w:rFonts w:ascii="Aptos" w:hAnsi="Aptos"/>
          <w:b w:val="0"/>
          <w:i w:val="0"/>
          <w:color w:val="000000"/>
          <w:sz w:val="21"/>
        </w:rPr>
        <w:t>Recommended long-only process:</w:t>
      </w:r>
    </w:p>
    <w:p>
      <w:pPr>
        <w:pStyle w:val="ListBullet"/>
        <w:spacing w:before="0" w:after="60" w:line="259" w:lineRule="auto"/>
      </w:pPr>
      <w:r>
        <w:rPr>
          <w:rFonts w:ascii="Aptos" w:hAnsi="Aptos"/>
          <w:b w:val="0"/>
          <w:i w:val="0"/>
          <w:color w:val="000000"/>
          <w:sz w:val="20"/>
        </w:rPr>
        <w:t>Enter when OptiTrade DAILY is BULLISH and SMA Trend DAILY is UP.</w:t>
      </w:r>
    </w:p>
    <w:p>
      <w:pPr>
        <w:pStyle w:val="ListBullet"/>
        <w:spacing w:before="0" w:after="60" w:line="259" w:lineRule="auto"/>
      </w:pPr>
      <w:r>
        <w:rPr>
          <w:rFonts w:ascii="Aptos" w:hAnsi="Aptos"/>
          <w:b w:val="0"/>
          <w:i w:val="0"/>
          <w:color w:val="000000"/>
          <w:sz w:val="20"/>
        </w:rPr>
        <w:t>Prefer a fresh Aroon BUY as the entry-timing confirmation.</w:t>
      </w:r>
    </w:p>
    <w:p>
      <w:pPr>
        <w:pStyle w:val="ListBullet"/>
        <w:spacing w:before="0" w:after="60" w:line="259" w:lineRule="auto"/>
      </w:pPr>
      <w:r>
        <w:rPr>
          <w:rFonts w:ascii="Aptos" w:hAnsi="Aptos"/>
          <w:b w:val="0"/>
          <w:i w:val="0"/>
          <w:color w:val="000000"/>
          <w:sz w:val="20"/>
        </w:rPr>
        <w:t>Exit when any two of OptiTrade BEARISH, SMA Trend DOWN, or Aroon SELL are present.</w:t>
      </w:r>
    </w:p>
    <w:p>
      <w:pPr>
        <w:pStyle w:val="ListBullet"/>
        <w:spacing w:before="0" w:after="60" w:line="259" w:lineRule="auto"/>
      </w:pPr>
      <w:r>
        <w:rPr>
          <w:rFonts w:ascii="Aptos" w:hAnsi="Aptos"/>
          <w:b w:val="0"/>
          <w:i w:val="0"/>
          <w:color w:val="000000"/>
          <w:sz w:val="20"/>
        </w:rPr>
        <w:t>Treat SELL as an exit to cash, never as a short entry.</w:t>
      </w:r>
    </w:p>
    <w:p>
      <w:pPr>
        <w:spacing w:before="0" w:after="140" w:line="259" w:lineRule="auto"/>
      </w:pPr>
      <w:r>
        <w:rPr>
          <w:rFonts w:ascii="Aptos" w:hAnsi="Aptos"/>
          <w:b/>
          <w:i w:val="0"/>
          <w:color w:val="000000"/>
          <w:sz w:val="21"/>
        </w:rPr>
        <w:t xml:space="preserve">Best primary indicator: </w:t>
      </w:r>
      <w:r>
        <w:rPr>
          <w:rFonts w:ascii="Aptos" w:hAnsi="Aptos"/>
          <w:b w:val="0"/>
          <w:i w:val="0"/>
          <w:color w:val="000000"/>
          <w:sz w:val="21"/>
        </w:rPr>
        <w:t>OptiTrade DAILY. It is the most responsive of the three and is better suited to shorter holding periods.</w:t>
      </w:r>
    </w:p>
    <w:p>
      <w:pPr>
        <w:pStyle w:val="Heading1"/>
        <w:spacing w:before="200" w:after="100" w:line="259" w:lineRule="auto"/>
      </w:pPr>
      <w:r>
        <w:rPr>
          <w:rFonts w:ascii="Aptos" w:hAnsi="Aptos"/>
          <w:b/>
          <w:i w:val="0"/>
          <w:color w:val="000000"/>
          <w:sz w:val="28"/>
        </w:rPr>
        <w:t>Swing Trading</w:t>
      </w:r>
    </w:p>
    <w:p>
      <w:pPr>
        <w:spacing w:before="0" w:after="140" w:line="259" w:lineRule="auto"/>
      </w:pPr>
      <w:r>
        <w:rPr>
          <w:rFonts w:ascii="Aptos" w:hAnsi="Aptos"/>
          <w:b w:val="0"/>
          <w:i w:val="0"/>
          <w:color w:val="000000"/>
          <w:sz w:val="21"/>
        </w:rPr>
        <w:t>Weekly data is better suited to multi-week positions because it reduces daily noise while preserving meaningful trend changes.</w:t>
      </w:r>
    </w:p>
    <w:p>
      <w:pPr>
        <w:pStyle w:val="ListBullet"/>
        <w:spacing w:before="0" w:after="60" w:line="259" w:lineRule="auto"/>
      </w:pPr>
      <w:r>
        <w:rPr>
          <w:rFonts w:ascii="Aptos" w:hAnsi="Aptos"/>
          <w:b w:val="0"/>
          <w:i w:val="0"/>
          <w:color w:val="000000"/>
          <w:sz w:val="20"/>
        </w:rPr>
        <w:t>Require SMA Trend WEEKLY to be UP before considering a long entry.</w:t>
      </w:r>
    </w:p>
    <w:p>
      <w:pPr>
        <w:pStyle w:val="ListBullet"/>
        <w:spacing w:before="0" w:after="60" w:line="259" w:lineRule="auto"/>
      </w:pPr>
      <w:r>
        <w:rPr>
          <w:rFonts w:ascii="Aptos" w:hAnsi="Aptos"/>
          <w:b w:val="0"/>
          <w:i w:val="0"/>
          <w:color w:val="000000"/>
          <w:sz w:val="20"/>
        </w:rPr>
        <w:t>Use OptiTrade WEEKLY as confirmation that the broader direction is BULLISH.</w:t>
      </w:r>
    </w:p>
    <w:p>
      <w:pPr>
        <w:pStyle w:val="ListBullet"/>
        <w:spacing w:before="0" w:after="60" w:line="259" w:lineRule="auto"/>
      </w:pPr>
      <w:r>
        <w:rPr>
          <w:rFonts w:ascii="Aptos" w:hAnsi="Aptos"/>
          <w:b w:val="0"/>
          <w:i w:val="0"/>
          <w:color w:val="000000"/>
          <w:sz w:val="20"/>
        </w:rPr>
        <w:t>Use a recent Aroon BUY to confirm that the prior downtrend is losing control.</w:t>
      </w:r>
    </w:p>
    <w:p>
      <w:pPr>
        <w:pStyle w:val="ListBullet"/>
        <w:spacing w:before="0" w:after="60" w:line="259" w:lineRule="auto"/>
      </w:pPr>
      <w:r>
        <w:rPr>
          <w:rFonts w:ascii="Aptos" w:hAnsi="Aptos"/>
          <w:b w:val="0"/>
          <w:i w:val="0"/>
          <w:color w:val="000000"/>
          <w:sz w:val="20"/>
        </w:rPr>
        <w:t>Exit on weekly SMA DOWN or OptiTrade BEARISH, with Aroon SELL as an additional warning.</w:t>
      </w:r>
    </w:p>
    <w:p>
      <w:pPr>
        <w:spacing w:before="0" w:after="140" w:line="259" w:lineRule="auto"/>
      </w:pPr>
      <w:r>
        <w:rPr>
          <w:rFonts w:ascii="Aptos" w:hAnsi="Aptos"/>
          <w:b/>
          <w:i w:val="0"/>
          <w:color w:val="000000"/>
          <w:sz w:val="21"/>
        </w:rPr>
        <w:t xml:space="preserve">Best primary indicator: </w:t>
      </w:r>
      <w:r>
        <w:rPr>
          <w:rFonts w:ascii="Aptos" w:hAnsi="Aptos"/>
          <w:b w:val="0"/>
          <w:i w:val="0"/>
          <w:color w:val="000000"/>
          <w:sz w:val="21"/>
        </w:rPr>
        <w:t>SMA Trend WEEKLY. OptiTrade confirms direction, while Aroon helps identify a transition rather than chasing an extended move.</w:t>
      </w:r>
    </w:p>
    <w:p>
      <w:pPr>
        <w:pStyle w:val="Heading1"/>
        <w:spacing w:before="200" w:after="100" w:line="259" w:lineRule="auto"/>
      </w:pPr>
      <w:r>
        <w:rPr>
          <w:rFonts w:ascii="Aptos" w:hAnsi="Aptos"/>
          <w:b/>
          <w:i w:val="0"/>
          <w:color w:val="000000"/>
          <w:sz w:val="28"/>
        </w:rPr>
        <w:t>Investment And Buy And Hold</w:t>
      </w:r>
    </w:p>
    <w:p>
      <w:pPr>
        <w:spacing w:before="0" w:after="140" w:line="259" w:lineRule="auto"/>
      </w:pPr>
      <w:r>
        <w:rPr>
          <w:rFonts w:ascii="Aptos" w:hAnsi="Aptos"/>
          <w:b w:val="0"/>
          <w:i w:val="0"/>
          <w:color w:val="000000"/>
          <w:sz w:val="21"/>
        </w:rPr>
        <w:t>Monthly signals should guide allocation and additions rather than frequent trading. The monthly Aroon backtest was weaker than buy-and-hold, so Aroon should not be the main reason to exit a long-term position.</w:t>
      </w:r>
    </w:p>
    <w:p>
      <w:pPr>
        <w:pStyle w:val="ListBullet"/>
        <w:spacing w:before="0" w:after="60" w:line="259" w:lineRule="auto"/>
      </w:pPr>
      <w:r>
        <w:rPr>
          <w:rFonts w:ascii="Aptos" w:hAnsi="Aptos"/>
          <w:b w:val="0"/>
          <w:i w:val="0"/>
          <w:color w:val="000000"/>
          <w:sz w:val="20"/>
        </w:rPr>
        <w:t>Buy or add when SMA Trend MONTHLY is UP and OptiTrade MONTHLY is BULLISH.</w:t>
      </w:r>
    </w:p>
    <w:p>
      <w:pPr>
        <w:pStyle w:val="ListBullet"/>
        <w:spacing w:before="0" w:after="60" w:line="259" w:lineRule="auto"/>
      </w:pPr>
      <w:r>
        <w:rPr>
          <w:rFonts w:ascii="Aptos" w:hAnsi="Aptos"/>
          <w:b w:val="0"/>
          <w:i w:val="0"/>
          <w:color w:val="000000"/>
          <w:sz w:val="20"/>
        </w:rPr>
        <w:t>Use Aroon MONTHLY as a warning that momentum may be weakening.</w:t>
      </w:r>
    </w:p>
    <w:p>
      <w:pPr>
        <w:pStyle w:val="ListBullet"/>
        <w:spacing w:before="0" w:after="60" w:line="259" w:lineRule="auto"/>
      </w:pPr>
      <w:r>
        <w:rPr>
          <w:rFonts w:ascii="Aptos" w:hAnsi="Aptos"/>
          <w:b w:val="0"/>
          <w:i w:val="0"/>
          <w:color w:val="000000"/>
          <w:sz w:val="20"/>
        </w:rPr>
        <w:t>Reduce or pause new purchases when both SMA Trend and OptiTrade become bearish.</w:t>
      </w:r>
    </w:p>
    <w:p>
      <w:pPr>
        <w:pStyle w:val="ListBullet"/>
        <w:spacing w:before="0" w:after="60" w:line="259" w:lineRule="auto"/>
      </w:pPr>
      <w:r>
        <w:rPr>
          <w:rFonts w:ascii="Aptos" w:hAnsi="Aptos"/>
          <w:b w:val="0"/>
          <w:i w:val="0"/>
          <w:color w:val="000000"/>
          <w:sz w:val="20"/>
        </w:rPr>
        <w:t>Prefer diversified ETFs or funds for the core allocation and use individual stocks selectively.</w:t>
      </w:r>
    </w:p>
    <w:p>
      <w:pPr>
        <w:spacing w:before="0" w:after="140" w:line="259" w:lineRule="auto"/>
      </w:pPr>
      <w:r>
        <w:rPr>
          <w:rFonts w:ascii="Aptos" w:hAnsi="Aptos"/>
          <w:b/>
          <w:i w:val="0"/>
          <w:color w:val="000000"/>
          <w:sz w:val="21"/>
        </w:rPr>
        <w:t xml:space="preserve">Best primary indicator: </w:t>
      </w:r>
      <w:r>
        <w:rPr>
          <w:rFonts w:ascii="Aptos" w:hAnsi="Aptos"/>
          <w:b w:val="0"/>
          <w:i w:val="0"/>
          <w:color w:val="000000"/>
          <w:sz w:val="21"/>
        </w:rPr>
        <w:t>SMA Trend MONTHLY. It is the most appropriate anchor for a long holding period, where avoiding unnecessary market timing is important.</w:t>
      </w:r>
    </w:p>
    <w:p>
      <w:pPr>
        <w:pStyle w:val="Heading1"/>
        <w:spacing w:before="200" w:after="100" w:line="259" w:lineRule="auto"/>
      </w:pPr>
      <w:r>
        <w:rPr>
          <w:rFonts w:ascii="Aptos" w:hAnsi="Aptos"/>
          <w:b/>
          <w:i w:val="0"/>
          <w:color w:val="000000"/>
          <w:sz w:val="28"/>
        </w:rPr>
        <w:t>Aroon Backtest Context</w:t>
      </w:r>
    </w:p>
    <w:p>
      <w:pPr>
        <w:spacing w:before="0" w:after="140" w:line="259" w:lineRule="auto"/>
      </w:pPr>
      <w:r>
        <w:rPr>
          <w:rFonts w:ascii="Aptos" w:hAnsi="Aptos"/>
          <w:b w:val="0"/>
          <w:i w:val="0"/>
          <w:color w:val="000000"/>
          <w:sz w:val="21"/>
        </w:rPr>
        <w:t>The completed Aroon test used BUY to enter or hold long, SELL to exit to cash, and no short selling. Signals were applied from the signal close to the next bar. The figures below are average results across symbols, not a fully capitalized portfolio simulation.</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Schema</w:t>
            </w:r>
          </w:p>
        </w:tc>
        <w:tc>
          <w:tcPr>
            <w:tcW w:type="dxa" w:w="12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Frequency</w:t>
            </w:r>
          </w:p>
        </w:tc>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Aroon return</w:t>
            </w:r>
          </w:p>
        </w:tc>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Buy and hold</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Difference</w:t>
            </w:r>
          </w:p>
        </w:tc>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Profitable symbols</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Avg drawdown</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jstocksnp</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DAILY</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+33.08%</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+82.62%</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-49.53%</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79.49%</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-25.91%</w:t>
            </w:r>
          </w:p>
        </w:tc>
      </w:tr>
      <w:tr>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jstocksnp</w:t>
            </w:r>
          </w:p>
        </w:tc>
        <w:tc>
          <w:tcPr>
            <w:tcW w:type="dxa" w:w="122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WEEKLY</w:t>
            </w:r>
          </w:p>
        </w:tc>
        <w:tc>
          <w:tcPr>
            <w:tcW w:type="dxa" w:w="158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+21.79%</w:t>
            </w:r>
          </w:p>
        </w:tc>
        <w:tc>
          <w:tcPr>
            <w:tcW w:type="dxa" w:w="158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+84.99%</w:t>
            </w:r>
          </w:p>
        </w:tc>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-63.20%</w:t>
            </w:r>
          </w:p>
        </w:tc>
        <w:tc>
          <w:tcPr>
            <w:tcW w:type="dxa" w:w="194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76.04%</w:t>
            </w:r>
          </w:p>
        </w:tc>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-22.50%</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jstocksnp</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MONTHLY</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+14.24%</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+80.15%</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-65.90%</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45.85%</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-8.72%</w:t>
            </w:r>
          </w:p>
        </w:tc>
      </w:tr>
      <w:tr>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jstocknse</w:t>
            </w:r>
          </w:p>
        </w:tc>
        <w:tc>
          <w:tcPr>
            <w:tcW w:type="dxa" w:w="122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DAILY</w:t>
            </w:r>
          </w:p>
        </w:tc>
        <w:tc>
          <w:tcPr>
            <w:tcW w:type="dxa" w:w="158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+22.09%</w:t>
            </w:r>
          </w:p>
        </w:tc>
        <w:tc>
          <w:tcPr>
            <w:tcW w:type="dxa" w:w="158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+26.62%</w:t>
            </w:r>
          </w:p>
        </w:tc>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-4.53%</w:t>
            </w:r>
          </w:p>
        </w:tc>
        <w:tc>
          <w:tcPr>
            <w:tcW w:type="dxa" w:w="194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72.83%</w:t>
            </w:r>
          </w:p>
        </w:tc>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-27.19%</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jstocknse</w:t>
            </w:r>
          </w:p>
        </w:tc>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WEEKLY</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+3.91%</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+25.08%</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-21.17%</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57.61%</w:t>
            </w:r>
          </w:p>
        </w:tc>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-25.96%</w:t>
            </w:r>
          </w:p>
        </w:tc>
      </w:tr>
      <w:tr>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jstocknse</w:t>
            </w:r>
          </w:p>
        </w:tc>
        <w:tc>
          <w:tcPr>
            <w:tcW w:type="dxa" w:w="122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MONTHLY</w:t>
            </w:r>
          </w:p>
        </w:tc>
        <w:tc>
          <w:tcPr>
            <w:tcW w:type="dxa" w:w="158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-0.22%</w:t>
            </w:r>
          </w:p>
        </w:tc>
        <w:tc>
          <w:tcPr>
            <w:tcW w:type="dxa" w:w="158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+24.00%</w:t>
            </w:r>
          </w:p>
        </w:tc>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-24.21%</w:t>
            </w:r>
          </w:p>
        </w:tc>
        <w:tc>
          <w:tcPr>
            <w:tcW w:type="dxa" w:w="194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28.80%</w:t>
            </w:r>
          </w:p>
        </w:tc>
        <w:tc>
          <w:tcPr>
            <w:tcW w:type="dxa" w:w="14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-12.07%</w:t>
            </w:r>
          </w:p>
        </w:tc>
      </w:tr>
    </w:tbl>
    <w:p>
      <w:pPr>
        <w:spacing w:after="20"/>
      </w:pPr>
    </w:p>
    <w:p>
      <w:pPr>
        <w:spacing w:before="0" w:after="140" w:line="259" w:lineRule="auto"/>
      </w:pPr>
      <w:r>
        <w:rPr>
          <w:rFonts w:ascii="Aptos" w:hAnsi="Aptos"/>
          <w:b w:val="0"/>
          <w:i w:val="0"/>
          <w:color w:val="000000"/>
          <w:sz w:val="21"/>
        </w:rPr>
        <w:t>Interpretation: Aroon was generally profitable, particularly on DAILY data, but it lagged buy-and-hold in most groups. Its strongest role is therefore timing and risk control, not maximizing long-term market exposure.</w:t>
      </w:r>
    </w:p>
    <w:p>
      <w:pPr>
        <w:pStyle w:val="Heading1"/>
        <w:spacing w:before="200" w:after="100" w:line="259" w:lineRule="auto"/>
      </w:pPr>
      <w:r>
        <w:rPr>
          <w:rFonts w:ascii="Aptos" w:hAnsi="Aptos"/>
          <w:b/>
          <w:i w:val="0"/>
          <w:color w:val="000000"/>
          <w:sz w:val="28"/>
        </w:rPr>
        <w:t>Combined Signal Framework</w:t>
      </w:r>
    </w:p>
    <w:p>
      <w:pPr>
        <w:spacing w:before="0" w:after="140" w:line="259" w:lineRule="auto"/>
      </w:pPr>
      <w:r>
        <w:rPr>
          <w:rFonts w:ascii="Aptos" w:hAnsi="Aptos"/>
          <w:b w:val="0"/>
          <w:i w:val="0"/>
          <w:color w:val="000000"/>
          <w:sz w:val="21"/>
        </w:rPr>
        <w:t>The most practical hierarchy is:</w:t>
      </w:r>
    </w:p>
    <w:tbl>
      <w:tblPr>
        <w:tblW w:type="auto" w:w="0"/>
        <w:jc w:val="center"/>
        <w:tblLayout w:type="fixed"/>
        <w:tblLook w:firstColumn="1" w:firstRow="1" w:lastColumn="0" w:lastRow="0" w:noHBand="0" w:noVBand="1" w:val="04A0"/>
      </w:tblPr>
      <w:tblGrid>
        <w:gridCol w:w="3408"/>
        <w:gridCol w:w="3408"/>
        <w:gridCol w:w="3408"/>
      </w:tblGrid>
      <w:tr>
        <w:tc>
          <w:tcPr>
            <w:tcW w:type="dxa" w:w="17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Layer</w:t>
            </w:r>
          </w:p>
        </w:tc>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Indicator</w:t>
            </w:r>
          </w:p>
        </w:tc>
        <w:tc>
          <w:tcPr>
            <w:tcW w:type="dxa" w:w="68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Purpose</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Trend</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SMA Trend</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Defines the base direction for the holding period</w:t>
            </w:r>
          </w:p>
        </w:tc>
      </w:tr>
      <w:tr>
        <w:tc>
          <w:tcPr>
            <w:tcW w:type="dxa" w:w="172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Confirmation</w:t>
            </w:r>
          </w:p>
        </w:tc>
        <w:tc>
          <w:tcPr>
            <w:tcW w:type="dxa" w:w="208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OptiTrade</w:t>
            </w:r>
          </w:p>
        </w:tc>
        <w:tc>
          <w:tcPr>
            <w:tcW w:type="dxa" w:w="68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Checks direction, strength, and trend quality</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Timing</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Aroon</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Identifies trend transition or weakening momentum</w:t>
            </w:r>
          </w:p>
        </w:tc>
      </w:tr>
      <w:tr>
        <w:tc>
          <w:tcPr>
            <w:tcW w:type="dxa" w:w="172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Exit</w:t>
            </w:r>
          </w:p>
        </w:tc>
        <w:tc>
          <w:tcPr>
            <w:tcW w:type="dxa" w:w="208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SMA or OptiTrade deterioration</w:t>
            </w:r>
          </w:p>
        </w:tc>
        <w:tc>
          <w:tcPr>
            <w:tcW w:type="dxa" w:w="684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Moves the position to cash without shorting</w:t>
            </w:r>
          </w:p>
        </w:tc>
      </w:tr>
    </w:tbl>
    <w:p>
      <w:pPr>
        <w:spacing w:after="20"/>
      </w:pPr>
    </w:p>
    <w:p>
      <w:pPr>
        <w:pStyle w:val="Heading1"/>
        <w:spacing w:before="200" w:after="100" w:line="259" w:lineRule="auto"/>
      </w:pPr>
      <w:r>
        <w:rPr>
          <w:rFonts w:ascii="Aptos" w:hAnsi="Aptos"/>
          <w:b/>
          <w:i w:val="0"/>
          <w:color w:val="000000"/>
          <w:sz w:val="28"/>
        </w:rPr>
        <w:t>Risk And Implementation Notes</w:t>
      </w:r>
    </w:p>
    <w:p>
      <w:pPr>
        <w:pStyle w:val="ListBullet"/>
        <w:spacing w:before="0" w:after="60" w:line="259" w:lineRule="auto"/>
      </w:pPr>
      <w:r>
        <w:rPr>
          <w:rFonts w:ascii="Aptos" w:hAnsi="Aptos"/>
          <w:b w:val="0"/>
          <w:i w:val="0"/>
          <w:color w:val="000000"/>
          <w:sz w:val="20"/>
        </w:rPr>
        <w:t>EOD daily data is not sufficient for true intraday day trading; use it for next-session decisions or add intraday data.</w:t>
      </w:r>
    </w:p>
    <w:p>
      <w:pPr>
        <w:pStyle w:val="ListBullet"/>
        <w:spacing w:before="0" w:after="60" w:line="259" w:lineRule="auto"/>
      </w:pPr>
      <w:r>
        <w:rPr>
          <w:rFonts w:ascii="Aptos" w:hAnsi="Aptos"/>
          <w:b w:val="0"/>
          <w:i w:val="0"/>
          <w:color w:val="000000"/>
          <w:sz w:val="20"/>
        </w:rPr>
        <w:t>Set position size before entry and define the maximum acceptable loss for each trade.</w:t>
      </w:r>
    </w:p>
    <w:p>
      <w:pPr>
        <w:pStyle w:val="ListBullet"/>
        <w:spacing w:before="0" w:after="60" w:line="259" w:lineRule="auto"/>
      </w:pPr>
      <w:r>
        <w:rPr>
          <w:rFonts w:ascii="Aptos" w:hAnsi="Aptos"/>
          <w:b w:val="0"/>
          <w:i w:val="0"/>
          <w:color w:val="000000"/>
          <w:sz w:val="20"/>
        </w:rPr>
        <w:t>Do not treat an indicator SELL as a guaranteed forecast. It is an exit or risk-reduction instruction.</w:t>
      </w:r>
    </w:p>
    <w:p>
      <w:pPr>
        <w:pStyle w:val="ListBullet"/>
        <w:spacing w:before="0" w:after="60" w:line="259" w:lineRule="auto"/>
      </w:pPr>
      <w:r>
        <w:rPr>
          <w:rFonts w:ascii="Aptos" w:hAnsi="Aptos"/>
          <w:b w:val="0"/>
          <w:i w:val="0"/>
          <w:color w:val="000000"/>
          <w:sz w:val="20"/>
        </w:rPr>
        <w:t>Keep investment holdings diversified. Diversification can reduce concentration risk but cannot eliminate losses.</w:t>
      </w:r>
    </w:p>
    <w:p>
      <w:pPr>
        <w:pStyle w:val="ListBullet"/>
        <w:spacing w:before="0" w:after="60" w:line="259" w:lineRule="auto"/>
      </w:pPr>
      <w:r>
        <w:rPr>
          <w:rFonts w:ascii="Aptos" w:hAnsi="Aptos"/>
          <w:b w:val="0"/>
          <w:i w:val="0"/>
          <w:color w:val="000000"/>
          <w:sz w:val="20"/>
        </w:rPr>
        <w:t>Frequent intraday trading is high risk and should not use essential living or retirement funds.</w:t>
      </w:r>
    </w:p>
    <w:p>
      <w:pPr>
        <w:spacing w:before="0" w:after="140" w:line="259" w:lineRule="auto"/>
      </w:pPr>
      <w:r>
        <w:rPr>
          <w:rFonts w:ascii="Aptos" w:hAnsi="Aptos"/>
          <w:b w:val="0"/>
          <w:i w:val="0"/>
          <w:color w:val="000000"/>
          <w:sz w:val="21"/>
        </w:rPr>
        <w:t>The SMA plus OptiTrade combinations are recommendations for the next comparative backtest. Their performance has not yet been tested under the same methodology as the Aroon-only results.</w:t>
      </w:r>
    </w:p>
    <w:p>
      <w:pPr>
        <w:pStyle w:val="Heading1"/>
        <w:spacing w:before="200" w:after="100" w:line="259" w:lineRule="auto"/>
      </w:pPr>
      <w:r>
        <w:rPr>
          <w:rFonts w:ascii="Aptos" w:hAnsi="Aptos"/>
          <w:b/>
          <w:i w:val="0"/>
          <w:color w:val="000000"/>
          <w:sz w:val="28"/>
        </w:rPr>
        <w:t>Reference Notes</w:t>
      </w:r>
    </w:p>
    <w:p>
      <w:pPr>
        <w:spacing w:before="0" w:after="140" w:line="259" w:lineRule="auto"/>
      </w:pPr>
      <w:r>
        <w:rPr>
          <w:rFonts w:ascii="Aptos" w:hAnsi="Aptos"/>
          <w:b w:val="0"/>
          <w:i w:val="0"/>
          <w:color w:val="000000"/>
          <w:sz w:val="21"/>
        </w:rPr>
        <w:t>Investor.gov, Asset Allocation and Diversification: https://www.investor.gov/introduction-investing/getting-started/asset-allocation</w:t>
      </w:r>
    </w:p>
    <w:p>
      <w:pPr>
        <w:spacing w:before="0" w:after="140" w:line="259" w:lineRule="auto"/>
      </w:pPr>
      <w:r>
        <w:rPr>
          <w:rFonts w:ascii="Aptos" w:hAnsi="Aptos"/>
          <w:b w:val="0"/>
          <w:i w:val="0"/>
          <w:color w:val="000000"/>
          <w:sz w:val="21"/>
        </w:rPr>
        <w:t>FINRA, Frequent Intraday Trading: Understanding the Basics: https://syndication.finra.org/content/frequent-intraday-trading-understanding-basics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46464"/>
        <w:sz w:val="16"/>
      </w:rPr>
      <w:t>JStockGenie | Strategy Recommendations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Strategy Recommendations</dc:title>
  <dc:subject>SMA Trend, OptiTrade, and Aroon strategy guidance</dc:subject>
  <dc:creator>JStockGenie</dc:creator>
  <cp:keywords>JStockGenie, SMA Trend, OptiTrade, Aroon, trading strategy</cp:keywords>
  <dc:description>generated by python-docx</dc:description>
  <cp:lastModifiedBy/>
  <cp:revision>1</cp:revision>
  <dcterms:created xsi:type="dcterms:W3CDTF">2013-12-23T23:15:00Z</dcterms:created>
  <dcterms:modified xsi:type="dcterms:W3CDTF">2013-12-23T23:15:00Z</dcterms:modified>
  <cp:category/>
</cp:coreProperties>
</file>