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C0043" w14:textId="3D3CFCF0" w:rsidR="00183B1B" w:rsidRPr="009739DA" w:rsidRDefault="00A20E97" w:rsidP="00183B1B">
      <w:pPr>
        <w:rPr>
          <w:rFonts w:eastAsia="Calibri" w:cstheme="minorHAnsi"/>
          <w:b/>
          <w:bCs/>
          <w:lang w:val="en-GB"/>
        </w:rPr>
      </w:pPr>
      <w:r>
        <w:rPr>
          <w:rFonts w:eastAsia="Calibri" w:cstheme="minorHAnsi"/>
          <w:b/>
          <w:bCs/>
          <w:lang w:val="en-GB"/>
        </w:rPr>
        <w:t>Summary</w:t>
      </w:r>
    </w:p>
    <w:p w14:paraId="7083F35E" w14:textId="77777777" w:rsidR="00AA77EF" w:rsidRPr="00AA77EF" w:rsidRDefault="00AA77EF" w:rsidP="00AA77EF">
      <w:pPr>
        <w:rPr>
          <w:rFonts w:eastAsia="Calibri" w:cstheme="minorHAnsi"/>
          <w:lang w:val="en-GB"/>
        </w:rPr>
      </w:pPr>
      <w:r w:rsidRPr="00AA77EF">
        <w:rPr>
          <w:rFonts w:eastAsia="Calibri" w:cstheme="minorHAnsi"/>
        </w:rPr>
        <w:t>Beazley is a global leader in cyber insurance, offering a comprehensive and dynamic solution called Full Spectrum Cyber, designed to address the full lifecycle of cyber risk. With over 20 years of expertise, Beazley’s approach goes beyond traditional insurance by integrating risk management, incident response, and proactive prevention</w:t>
      </w:r>
      <w:r w:rsidRPr="00AA77EF">
        <w:rPr>
          <w:rFonts w:eastAsia="Calibri" w:cstheme="minorHAnsi"/>
          <w:lang w:val="en-GB"/>
        </w:rPr>
        <w:t> </w:t>
      </w:r>
    </w:p>
    <w:p w14:paraId="0D3E30A2" w14:textId="54BBFE0B" w:rsidR="00AA77EF" w:rsidRDefault="00AA77EF" w:rsidP="0037509A">
      <w:pPr>
        <w:rPr>
          <w:rFonts w:eastAsia="Calibri" w:cstheme="minorHAnsi"/>
          <w:lang w:val="en-GB"/>
        </w:rPr>
      </w:pPr>
      <w:r w:rsidRPr="00AA77EF">
        <w:rPr>
          <w:rFonts w:eastAsia="Calibri" w:cstheme="minorHAnsi"/>
        </w:rPr>
        <w:t xml:space="preserve"> Beazley Insurance is developing a seamless digital underwriting and finance platform built on a sophisticated Event Driven Architecture (EDA). In this model, multiple loosely coupled components communicate asynchronously through events, which introduces significant complexity in tracing data flows. To address the unique testing challenges of EDA, Beazley partnered with Capgemini. The test team strategically leveraged modern technologies and techniques; including mocking, event sourcing, observability, effective use of Kafka controls, Datadog, AI-based data generation, and data ingestion tools; alongside traditional test automation. This ensured robust and reliable system validation to support </w:t>
      </w:r>
      <w:r w:rsidRPr="00AA77EF">
        <w:rPr>
          <w:rFonts w:eastAsia="Calibri" w:cstheme="minorHAnsi"/>
        </w:rPr>
        <w:t>the</w:t>
      </w:r>
      <w:r w:rsidRPr="00AA77EF">
        <w:rPr>
          <w:rFonts w:eastAsia="Calibri" w:cstheme="minorHAnsi"/>
        </w:rPr>
        <w:t xml:space="preserve"> release plan to deliver desired business outcomes</w:t>
      </w:r>
    </w:p>
    <w:p w14:paraId="13892C3C" w14:textId="658DD6B1" w:rsidR="0037509A" w:rsidRPr="00450C4A" w:rsidRDefault="0037509A" w:rsidP="0037509A">
      <w:pPr>
        <w:rPr>
          <w:rFonts w:eastAsia="Calibri" w:cstheme="minorHAnsi"/>
          <w:lang w:val="en-GB"/>
        </w:rPr>
      </w:pPr>
      <w:r w:rsidRPr="0037509A">
        <w:rPr>
          <w:rFonts w:eastAsia="Calibri" w:cstheme="minorHAnsi"/>
          <w:lang w:val="en-GB"/>
        </w:rPr>
        <w:t>Beazley offers a diverse portfolio of insurance products across the globe, including:</w:t>
      </w:r>
    </w:p>
    <w:p w14:paraId="1072B0F3" w14:textId="77777777" w:rsidR="0037509A" w:rsidRPr="00450C4A" w:rsidRDefault="0037509A" w:rsidP="0037509A">
      <w:pPr>
        <w:pStyle w:val="ListParagraph"/>
        <w:numPr>
          <w:ilvl w:val="0"/>
          <w:numId w:val="15"/>
        </w:numPr>
        <w:rPr>
          <w:rFonts w:eastAsia="Calibri" w:cstheme="minorHAnsi"/>
          <w:lang w:val="en-GB"/>
        </w:rPr>
      </w:pPr>
      <w:r w:rsidRPr="00450C4A">
        <w:rPr>
          <w:rFonts w:eastAsia="Calibri" w:cstheme="minorHAnsi"/>
          <w:lang w:val="en-GB"/>
        </w:rPr>
        <w:t>D&amp;O – Directors and Officers Liability</w:t>
      </w:r>
    </w:p>
    <w:p w14:paraId="1AFB01C4" w14:textId="77777777" w:rsidR="0037509A" w:rsidRPr="00450C4A" w:rsidRDefault="0037509A" w:rsidP="0037509A">
      <w:pPr>
        <w:pStyle w:val="ListParagraph"/>
        <w:numPr>
          <w:ilvl w:val="0"/>
          <w:numId w:val="15"/>
        </w:numPr>
        <w:rPr>
          <w:rFonts w:eastAsia="Calibri" w:cstheme="minorHAnsi"/>
          <w:lang w:val="en-GB"/>
        </w:rPr>
      </w:pPr>
      <w:r w:rsidRPr="00450C4A">
        <w:rPr>
          <w:rFonts w:eastAsia="Calibri" w:cstheme="minorHAnsi"/>
          <w:lang w:val="en-GB"/>
        </w:rPr>
        <w:t>EPL – Employment Practices Liability</w:t>
      </w:r>
    </w:p>
    <w:p w14:paraId="2A7F8B7B" w14:textId="77777777" w:rsidR="0037509A" w:rsidRPr="00450C4A" w:rsidRDefault="0037509A" w:rsidP="0037509A">
      <w:pPr>
        <w:pStyle w:val="ListParagraph"/>
        <w:numPr>
          <w:ilvl w:val="0"/>
          <w:numId w:val="15"/>
        </w:numPr>
        <w:rPr>
          <w:rFonts w:eastAsia="Calibri" w:cstheme="minorHAnsi"/>
          <w:lang w:val="en-GB"/>
        </w:rPr>
      </w:pPr>
      <w:r w:rsidRPr="00450C4A">
        <w:rPr>
          <w:rFonts w:eastAsia="Calibri" w:cstheme="minorHAnsi"/>
          <w:lang w:val="en-GB"/>
        </w:rPr>
        <w:t>Fiduciary Liability Insurance</w:t>
      </w:r>
    </w:p>
    <w:p w14:paraId="7A16A7E6" w14:textId="77777777" w:rsidR="0037509A" w:rsidRPr="00450C4A" w:rsidRDefault="0037509A" w:rsidP="0037509A">
      <w:pPr>
        <w:pStyle w:val="ListParagraph"/>
        <w:numPr>
          <w:ilvl w:val="0"/>
          <w:numId w:val="15"/>
        </w:numPr>
        <w:rPr>
          <w:rFonts w:eastAsia="Calibri" w:cstheme="minorHAnsi"/>
          <w:lang w:val="en-GB"/>
        </w:rPr>
      </w:pPr>
      <w:r w:rsidRPr="00450C4A">
        <w:rPr>
          <w:rFonts w:eastAsia="Calibri" w:cstheme="minorHAnsi"/>
          <w:lang w:val="en-GB"/>
        </w:rPr>
        <w:t>Professional Civil Liability Insurance</w:t>
      </w:r>
    </w:p>
    <w:p w14:paraId="35EC953A" w14:textId="77777777" w:rsidR="0037509A" w:rsidRPr="00450C4A" w:rsidRDefault="0037509A" w:rsidP="0037509A">
      <w:pPr>
        <w:pStyle w:val="ListParagraph"/>
        <w:numPr>
          <w:ilvl w:val="0"/>
          <w:numId w:val="15"/>
        </w:numPr>
        <w:rPr>
          <w:rFonts w:eastAsia="Calibri" w:cstheme="minorHAnsi"/>
          <w:lang w:val="en-GB"/>
        </w:rPr>
      </w:pPr>
      <w:r w:rsidRPr="00450C4A">
        <w:rPr>
          <w:rFonts w:eastAsia="Calibri" w:cstheme="minorHAnsi"/>
          <w:lang w:val="en-GB"/>
        </w:rPr>
        <w:t>Cyber Insurance &amp; Cyber Services</w:t>
      </w:r>
    </w:p>
    <w:p w14:paraId="50259BA6" w14:textId="77777777" w:rsidR="0037509A" w:rsidRPr="00450C4A" w:rsidRDefault="0037509A" w:rsidP="0037509A">
      <w:pPr>
        <w:pStyle w:val="ListParagraph"/>
        <w:numPr>
          <w:ilvl w:val="0"/>
          <w:numId w:val="15"/>
        </w:numPr>
        <w:rPr>
          <w:rFonts w:eastAsia="Calibri" w:cstheme="minorHAnsi"/>
          <w:lang w:val="en-GB"/>
        </w:rPr>
      </w:pPr>
      <w:r w:rsidRPr="00450C4A">
        <w:rPr>
          <w:rFonts w:eastAsia="Calibri" w:cstheme="minorHAnsi"/>
          <w:lang w:val="en-GB"/>
        </w:rPr>
        <w:t>BBR – Beazley Breach Response 2.0 &amp; 5.0</w:t>
      </w:r>
    </w:p>
    <w:p w14:paraId="4DD11761" w14:textId="77777777" w:rsidR="0037509A" w:rsidRPr="00450C4A" w:rsidRDefault="0037509A" w:rsidP="0037509A">
      <w:pPr>
        <w:pStyle w:val="ListParagraph"/>
        <w:numPr>
          <w:ilvl w:val="0"/>
          <w:numId w:val="15"/>
        </w:numPr>
        <w:rPr>
          <w:rFonts w:eastAsia="Calibri" w:cstheme="minorHAnsi"/>
          <w:lang w:val="en-GB"/>
        </w:rPr>
      </w:pPr>
      <w:r w:rsidRPr="00450C4A">
        <w:rPr>
          <w:rFonts w:eastAsia="Calibri" w:cstheme="minorHAnsi"/>
          <w:lang w:val="en-GB"/>
        </w:rPr>
        <w:t>IMI – Investment Management Insurance</w:t>
      </w:r>
    </w:p>
    <w:p w14:paraId="697AC98A" w14:textId="77777777" w:rsidR="0037509A" w:rsidRPr="00450C4A" w:rsidRDefault="0037509A" w:rsidP="0037509A">
      <w:pPr>
        <w:pStyle w:val="ListParagraph"/>
        <w:numPr>
          <w:ilvl w:val="0"/>
          <w:numId w:val="15"/>
        </w:numPr>
        <w:rPr>
          <w:rFonts w:eastAsia="Calibri" w:cstheme="minorHAnsi"/>
          <w:lang w:val="en-GB"/>
        </w:rPr>
      </w:pPr>
      <w:r w:rsidRPr="00450C4A">
        <w:rPr>
          <w:rFonts w:eastAsia="Calibri" w:cstheme="minorHAnsi"/>
          <w:lang w:val="en-GB"/>
        </w:rPr>
        <w:t>FIPI – Financial Institution Professional Indemnity Insurance</w:t>
      </w:r>
    </w:p>
    <w:p w14:paraId="2692A327" w14:textId="77777777" w:rsidR="0037509A" w:rsidRPr="0037509A" w:rsidRDefault="0037509A" w:rsidP="0037509A">
      <w:pPr>
        <w:rPr>
          <w:rFonts w:eastAsia="Calibri" w:cstheme="minorHAnsi"/>
          <w:b/>
          <w:bCs/>
          <w:lang w:val="en-GB"/>
        </w:rPr>
      </w:pPr>
    </w:p>
    <w:p w14:paraId="37099C52" w14:textId="6D5E11A4" w:rsidR="00746C73" w:rsidRDefault="0037509A" w:rsidP="0037509A">
      <w:pPr>
        <w:rPr>
          <w:rFonts w:eastAsia="Calibri" w:cstheme="minorHAnsi"/>
          <w:lang w:val="en-GB"/>
        </w:rPr>
      </w:pPr>
      <w:r w:rsidRPr="0037509A">
        <w:rPr>
          <w:rFonts w:eastAsia="Calibri" w:cstheme="minorHAnsi"/>
          <w:lang w:val="en-GB"/>
        </w:rPr>
        <w:t>Currently, the onboarding process for these products is manual. The proposed solution will fully automate this process by leveraging cutting-edge technologies and AI, enhancing efficiency, scalability, and user experience across all regions.</w:t>
      </w:r>
    </w:p>
    <w:p w14:paraId="20548E0D" w14:textId="77777777" w:rsidR="00746C73" w:rsidRPr="00746C73" w:rsidRDefault="00746C73" w:rsidP="00746C73">
      <w:pPr>
        <w:rPr>
          <w:rFonts w:eastAsia="Calibri" w:cstheme="minorHAnsi"/>
          <w:lang w:val="en-GB"/>
        </w:rPr>
      </w:pPr>
      <w:r w:rsidRPr="00746C73">
        <w:rPr>
          <w:rFonts w:eastAsia="Calibri" w:cstheme="minorHAnsi"/>
          <w:b/>
          <w:bCs/>
          <w:lang w:val="en-GB"/>
        </w:rPr>
        <w:t>Testing Challenges in the Program</w:t>
      </w:r>
    </w:p>
    <w:p w14:paraId="66DA3C0C" w14:textId="77777777" w:rsidR="00746C73" w:rsidRPr="00746C73" w:rsidRDefault="00746C73" w:rsidP="00746C73">
      <w:pPr>
        <w:rPr>
          <w:rFonts w:eastAsia="Calibri" w:cstheme="minorHAnsi"/>
          <w:lang w:val="en-GB"/>
        </w:rPr>
      </w:pPr>
      <w:r w:rsidRPr="00746C73">
        <w:rPr>
          <w:rFonts w:eastAsia="Calibri" w:cstheme="minorHAnsi"/>
          <w:lang w:val="en-GB"/>
        </w:rPr>
        <w:t>This program faced several complex testing challenges due to its scale, architecture, and multi-vendor setup:</w:t>
      </w:r>
    </w:p>
    <w:p w14:paraId="5D3E8275" w14:textId="763A5C1E" w:rsidR="00746C73" w:rsidRPr="00833718" w:rsidRDefault="00746C73" w:rsidP="00833718">
      <w:pPr>
        <w:pStyle w:val="ListParagraph"/>
        <w:numPr>
          <w:ilvl w:val="0"/>
          <w:numId w:val="16"/>
        </w:numPr>
        <w:rPr>
          <w:rFonts w:eastAsia="Calibri" w:cstheme="minorHAnsi"/>
          <w:lang w:val="en-GB"/>
        </w:rPr>
      </w:pPr>
      <w:r w:rsidRPr="00746C73">
        <w:rPr>
          <w:rFonts w:eastAsia="Calibri" w:cstheme="minorHAnsi"/>
          <w:b/>
          <w:bCs/>
          <w:lang w:val="en-GB"/>
        </w:rPr>
        <w:t>Environment Constraints</w:t>
      </w:r>
      <w:r w:rsidRPr="00746C73">
        <w:rPr>
          <w:rFonts w:eastAsia="Calibri" w:cstheme="minorHAnsi"/>
          <w:lang w:val="en-GB"/>
        </w:rPr>
        <w:t>: Critical external systems like the London Market and HX Rate were not accessible in test environments due to security restrictions, limiting end-to-end testing capabilities.</w:t>
      </w:r>
    </w:p>
    <w:p w14:paraId="421FA423" w14:textId="77777777" w:rsidR="00746C73" w:rsidRPr="00746C73" w:rsidRDefault="00746C73" w:rsidP="00746C73">
      <w:pPr>
        <w:numPr>
          <w:ilvl w:val="0"/>
          <w:numId w:val="16"/>
        </w:numPr>
        <w:rPr>
          <w:rFonts w:eastAsia="Calibri" w:cstheme="minorHAnsi"/>
          <w:lang w:val="en-GB"/>
        </w:rPr>
      </w:pPr>
      <w:r w:rsidRPr="00746C73">
        <w:rPr>
          <w:rFonts w:eastAsia="Calibri" w:cstheme="minorHAnsi"/>
          <w:b/>
          <w:bCs/>
          <w:lang w:val="en-GB"/>
        </w:rPr>
        <w:t>Multi-Vendor Coordination</w:t>
      </w:r>
      <w:r w:rsidRPr="00746C73">
        <w:rPr>
          <w:rFonts w:eastAsia="Calibri" w:cstheme="minorHAnsi"/>
          <w:lang w:val="en-GB"/>
        </w:rPr>
        <w:t>: With multiple vendors involved globally, coordination across teams added significant complexity.</w:t>
      </w:r>
    </w:p>
    <w:p w14:paraId="52E8A031" w14:textId="6FC14121" w:rsidR="00746C73" w:rsidRPr="00746C73" w:rsidRDefault="00746C73" w:rsidP="00746C73">
      <w:pPr>
        <w:numPr>
          <w:ilvl w:val="0"/>
          <w:numId w:val="16"/>
        </w:numPr>
        <w:rPr>
          <w:rFonts w:eastAsia="Calibri" w:cstheme="minorHAnsi"/>
          <w:lang w:val="en-GB"/>
        </w:rPr>
      </w:pPr>
      <w:r w:rsidRPr="00746C73">
        <w:rPr>
          <w:rFonts w:eastAsia="Calibri" w:cstheme="minorHAnsi"/>
          <w:b/>
          <w:bCs/>
          <w:lang w:val="en-GB"/>
        </w:rPr>
        <w:t>Test Data Limitations</w:t>
      </w:r>
      <w:r w:rsidRPr="00746C73">
        <w:rPr>
          <w:rFonts w:eastAsia="Calibri" w:cstheme="minorHAnsi"/>
          <w:lang w:val="en-GB"/>
        </w:rPr>
        <w:t>: There was no production-like test data, no Test Data Management (TDM) solution for data masking, and no capability for on-demand data provisioning.</w:t>
      </w:r>
      <w:r w:rsidR="00833718">
        <w:rPr>
          <w:rFonts w:eastAsia="Calibri" w:cstheme="minorHAnsi"/>
          <w:lang w:val="en-GB"/>
        </w:rPr>
        <w:t xml:space="preserve"> </w:t>
      </w:r>
      <w:r w:rsidR="00833718" w:rsidRPr="00183B1B">
        <w:rPr>
          <w:rFonts w:eastAsia="Calibri" w:cstheme="minorHAnsi"/>
          <w:lang w:val="en-GB"/>
        </w:rPr>
        <w:t xml:space="preserve">Reference data consistency was essential across all integrated systems, particularly for entities such as broker </w:t>
      </w:r>
      <w:r w:rsidR="00833718" w:rsidRPr="00183B1B">
        <w:rPr>
          <w:rFonts w:eastAsia="Calibri" w:cstheme="minorHAnsi"/>
          <w:lang w:val="en-GB"/>
        </w:rPr>
        <w:lastRenderedPageBreak/>
        <w:t>details. The event-driven architecture complicated test data injection, as data had to be introduced externally rather than directly into databases</w:t>
      </w:r>
    </w:p>
    <w:p w14:paraId="41564A99" w14:textId="77777777" w:rsidR="00746C73" w:rsidRPr="00746C73" w:rsidRDefault="00746C73" w:rsidP="00746C73">
      <w:pPr>
        <w:numPr>
          <w:ilvl w:val="0"/>
          <w:numId w:val="16"/>
        </w:numPr>
        <w:rPr>
          <w:rFonts w:eastAsia="Calibri" w:cstheme="minorHAnsi"/>
          <w:lang w:val="en-GB"/>
        </w:rPr>
      </w:pPr>
      <w:r w:rsidRPr="00746C73">
        <w:rPr>
          <w:rFonts w:eastAsia="Calibri" w:cstheme="minorHAnsi"/>
          <w:b/>
          <w:bCs/>
          <w:lang w:val="en-GB"/>
        </w:rPr>
        <w:t>Technology Stack Complexity</w:t>
      </w:r>
      <w:r w:rsidRPr="00746C73">
        <w:rPr>
          <w:rFonts w:eastAsia="Calibri" w:cstheme="minorHAnsi"/>
          <w:lang w:val="en-GB"/>
        </w:rPr>
        <w:t xml:space="preserve">: The solution spans multiple layers and technologies, including: </w:t>
      </w:r>
    </w:p>
    <w:p w14:paraId="26789E69" w14:textId="77777777" w:rsidR="00746C73" w:rsidRPr="00746C73" w:rsidRDefault="00746C73" w:rsidP="00746C73">
      <w:pPr>
        <w:numPr>
          <w:ilvl w:val="1"/>
          <w:numId w:val="16"/>
        </w:numPr>
        <w:rPr>
          <w:rFonts w:eastAsia="Calibri" w:cstheme="minorHAnsi"/>
          <w:lang w:val="en-GB"/>
        </w:rPr>
      </w:pPr>
      <w:r w:rsidRPr="00746C73">
        <w:rPr>
          <w:rFonts w:eastAsia="Calibri" w:cstheme="minorHAnsi"/>
          <w:b/>
          <w:bCs/>
          <w:lang w:val="en-GB"/>
        </w:rPr>
        <w:t>Multi-cloud environments</w:t>
      </w:r>
      <w:r w:rsidRPr="00746C73">
        <w:rPr>
          <w:rFonts w:eastAsia="Calibri" w:cstheme="minorHAnsi"/>
          <w:lang w:val="en-GB"/>
        </w:rPr>
        <w:t xml:space="preserve"> – Azure and AWS</w:t>
      </w:r>
    </w:p>
    <w:p w14:paraId="7C61D8EA" w14:textId="77777777" w:rsidR="00746C73" w:rsidRPr="00746C73" w:rsidRDefault="00746C73" w:rsidP="00746C73">
      <w:pPr>
        <w:numPr>
          <w:ilvl w:val="1"/>
          <w:numId w:val="16"/>
        </w:numPr>
        <w:rPr>
          <w:rFonts w:eastAsia="Calibri" w:cstheme="minorHAnsi"/>
          <w:lang w:val="en-GB"/>
        </w:rPr>
      </w:pPr>
      <w:r w:rsidRPr="00746C73">
        <w:rPr>
          <w:rFonts w:eastAsia="Calibri" w:cstheme="minorHAnsi"/>
          <w:b/>
          <w:bCs/>
          <w:lang w:val="en-GB"/>
        </w:rPr>
        <w:t>Event-driven, asynchronous architecture</w:t>
      </w:r>
    </w:p>
    <w:p w14:paraId="50CB80BE" w14:textId="77777777" w:rsidR="00746C73" w:rsidRPr="00746C73" w:rsidRDefault="00746C73" w:rsidP="00746C73">
      <w:pPr>
        <w:numPr>
          <w:ilvl w:val="1"/>
          <w:numId w:val="16"/>
        </w:numPr>
        <w:rPr>
          <w:rFonts w:eastAsia="Calibri" w:cstheme="minorHAnsi"/>
          <w:lang w:val="en-GB"/>
        </w:rPr>
      </w:pPr>
      <w:r w:rsidRPr="00746C73">
        <w:rPr>
          <w:rFonts w:eastAsia="Calibri" w:cstheme="minorHAnsi"/>
          <w:b/>
          <w:bCs/>
          <w:lang w:val="en-GB"/>
        </w:rPr>
        <w:t>Kafka</w:t>
      </w:r>
      <w:r w:rsidRPr="00746C73">
        <w:rPr>
          <w:rFonts w:eastAsia="Calibri" w:cstheme="minorHAnsi"/>
          <w:lang w:val="en-GB"/>
        </w:rPr>
        <w:t xml:space="preserve">, </w:t>
      </w:r>
      <w:r w:rsidRPr="00746C73">
        <w:rPr>
          <w:rFonts w:eastAsia="Calibri" w:cstheme="minorHAnsi"/>
          <w:b/>
          <w:bCs/>
          <w:lang w:val="en-GB"/>
        </w:rPr>
        <w:t>Guidewire</w:t>
      </w:r>
      <w:r w:rsidRPr="00746C73">
        <w:rPr>
          <w:rFonts w:eastAsia="Calibri" w:cstheme="minorHAnsi"/>
          <w:lang w:val="en-GB"/>
        </w:rPr>
        <w:t xml:space="preserve">, and off-the-shelf products like </w:t>
      </w:r>
      <w:r w:rsidRPr="00746C73">
        <w:rPr>
          <w:rFonts w:eastAsia="Calibri" w:cstheme="minorHAnsi"/>
          <w:b/>
          <w:bCs/>
          <w:lang w:val="en-GB"/>
        </w:rPr>
        <w:t>Insight</w:t>
      </w:r>
      <w:r w:rsidRPr="00746C73">
        <w:rPr>
          <w:rFonts w:eastAsia="Calibri" w:cstheme="minorHAnsi"/>
          <w:lang w:val="en-GB"/>
        </w:rPr>
        <w:t xml:space="preserve">, </w:t>
      </w:r>
      <w:r w:rsidRPr="00746C73">
        <w:rPr>
          <w:rFonts w:eastAsia="Calibri" w:cstheme="minorHAnsi"/>
          <w:b/>
          <w:bCs/>
          <w:lang w:val="en-GB"/>
        </w:rPr>
        <w:t>BI Reporting</w:t>
      </w:r>
      <w:r w:rsidRPr="00746C73">
        <w:rPr>
          <w:rFonts w:eastAsia="Calibri" w:cstheme="minorHAnsi"/>
          <w:lang w:val="en-GB"/>
        </w:rPr>
        <w:t xml:space="preserve">, and </w:t>
      </w:r>
      <w:r w:rsidRPr="00746C73">
        <w:rPr>
          <w:rFonts w:eastAsia="Calibri" w:cstheme="minorHAnsi"/>
          <w:b/>
          <w:bCs/>
          <w:lang w:val="en-GB"/>
        </w:rPr>
        <w:t>Finance Systems</w:t>
      </w:r>
    </w:p>
    <w:p w14:paraId="2A16DD0E" w14:textId="77777777" w:rsidR="00746C73" w:rsidRPr="00746C73" w:rsidRDefault="00746C73" w:rsidP="00746C73">
      <w:pPr>
        <w:numPr>
          <w:ilvl w:val="0"/>
          <w:numId w:val="16"/>
        </w:numPr>
        <w:rPr>
          <w:rFonts w:eastAsia="Calibri" w:cstheme="minorHAnsi"/>
          <w:lang w:val="en-GB"/>
        </w:rPr>
      </w:pPr>
      <w:r w:rsidRPr="00746C73">
        <w:rPr>
          <w:rFonts w:eastAsia="Calibri" w:cstheme="minorHAnsi"/>
          <w:b/>
          <w:bCs/>
          <w:lang w:val="en-GB"/>
        </w:rPr>
        <w:t>Monitoring Challenges</w:t>
      </w:r>
      <w:r w:rsidRPr="00746C73">
        <w:rPr>
          <w:rFonts w:eastAsia="Calibri" w:cstheme="minorHAnsi"/>
          <w:lang w:val="en-GB"/>
        </w:rPr>
        <w:t>: Each technology introduced unique monitoring and observability challenges.</w:t>
      </w:r>
    </w:p>
    <w:p w14:paraId="4A2B285E" w14:textId="77777777" w:rsidR="00746C73" w:rsidRPr="00746C73" w:rsidRDefault="00746C73" w:rsidP="00746C73">
      <w:pPr>
        <w:numPr>
          <w:ilvl w:val="0"/>
          <w:numId w:val="16"/>
        </w:numPr>
        <w:rPr>
          <w:rFonts w:eastAsia="Calibri" w:cstheme="minorHAnsi"/>
          <w:lang w:val="en-GB"/>
        </w:rPr>
      </w:pPr>
      <w:r w:rsidRPr="00746C73">
        <w:rPr>
          <w:rFonts w:eastAsia="Calibri" w:cstheme="minorHAnsi"/>
          <w:b/>
          <w:bCs/>
          <w:lang w:val="en-GB"/>
        </w:rPr>
        <w:t>Legacy Integration</w:t>
      </w:r>
      <w:r w:rsidRPr="00746C73">
        <w:rPr>
          <w:rFonts w:eastAsia="Calibri" w:cstheme="minorHAnsi"/>
          <w:lang w:val="en-GB"/>
        </w:rPr>
        <w:t>: New application layers were tightly integrated with legacy systems, increasing the risk and complexity of testing.</w:t>
      </w:r>
    </w:p>
    <w:p w14:paraId="74B88685" w14:textId="692274B5" w:rsidR="00746C73" w:rsidRPr="00746C73" w:rsidRDefault="00746C73" w:rsidP="00746C73">
      <w:pPr>
        <w:numPr>
          <w:ilvl w:val="0"/>
          <w:numId w:val="16"/>
        </w:numPr>
        <w:rPr>
          <w:rFonts w:eastAsia="Calibri" w:cstheme="minorHAnsi"/>
          <w:lang w:val="en-GB"/>
        </w:rPr>
      </w:pPr>
      <w:r w:rsidRPr="00746C73">
        <w:rPr>
          <w:rFonts w:eastAsia="Calibri" w:cstheme="minorHAnsi"/>
          <w:b/>
          <w:bCs/>
          <w:lang w:val="en-GB"/>
        </w:rPr>
        <w:t>Delivery Pressure</w:t>
      </w:r>
      <w:r w:rsidRPr="00746C73">
        <w:rPr>
          <w:rFonts w:eastAsia="Calibri" w:cstheme="minorHAnsi"/>
          <w:lang w:val="en-GB"/>
        </w:rPr>
        <w:t xml:space="preserve">: </w:t>
      </w:r>
      <w:r w:rsidR="00F026DF" w:rsidRPr="00F026DF">
        <w:rPr>
          <w:rFonts w:eastAsia="Calibri" w:cstheme="minorHAnsi"/>
          <w:lang w:val="en-GB"/>
        </w:rPr>
        <w:t>The program operated under extremely tight timelines and high delivery pressure, requiring rapid execution and adaptability</w:t>
      </w:r>
    </w:p>
    <w:p w14:paraId="263D4995" w14:textId="77777777" w:rsidR="00746C73" w:rsidRDefault="00746C73" w:rsidP="0037509A">
      <w:pPr>
        <w:rPr>
          <w:rFonts w:eastAsia="Calibri" w:cstheme="minorHAnsi"/>
          <w:lang w:val="en-GB"/>
        </w:rPr>
      </w:pPr>
    </w:p>
    <w:p w14:paraId="5E13E8FB" w14:textId="77777777" w:rsidR="00746C73" w:rsidRPr="0037509A" w:rsidRDefault="00746C73" w:rsidP="0037509A">
      <w:pPr>
        <w:rPr>
          <w:rFonts w:eastAsia="Calibri" w:cstheme="minorHAnsi"/>
          <w:lang w:val="en-GB"/>
        </w:rPr>
      </w:pPr>
    </w:p>
    <w:p w14:paraId="6240269E" w14:textId="3881B71F" w:rsidR="009739DA" w:rsidRDefault="009739DA" w:rsidP="009739DA">
      <w:pPr>
        <w:spacing w:before="100" w:beforeAutospacing="1" w:after="100" w:afterAutospacing="1" w:line="240" w:lineRule="auto"/>
        <w:outlineLvl w:val="2"/>
        <w:rPr>
          <w:rFonts w:eastAsia="Times New Roman" w:cstheme="minorHAnsi"/>
          <w:b/>
          <w:bCs/>
          <w:sz w:val="27"/>
          <w:szCs w:val="27"/>
          <w:lang w:val="en-GB" w:eastAsia="en-GB"/>
        </w:rPr>
      </w:pPr>
      <w:r w:rsidRPr="009739DA">
        <w:rPr>
          <w:rFonts w:eastAsia="Times New Roman" w:cstheme="minorHAnsi"/>
          <w:b/>
          <w:bCs/>
          <w:sz w:val="27"/>
          <w:szCs w:val="27"/>
          <w:lang w:val="en-GB" w:eastAsia="en-GB"/>
        </w:rPr>
        <w:t>T</w:t>
      </w:r>
      <w:r w:rsidRPr="009739DA">
        <w:rPr>
          <w:rFonts w:eastAsia="Times New Roman" w:cstheme="minorHAnsi"/>
          <w:b/>
          <w:bCs/>
          <w:sz w:val="27"/>
          <w:szCs w:val="27"/>
          <w:lang w:val="en-GB" w:eastAsia="en-GB"/>
        </w:rPr>
        <w:t xml:space="preserve">est </w:t>
      </w:r>
      <w:r w:rsidRPr="009739DA">
        <w:rPr>
          <w:rFonts w:eastAsia="Times New Roman" w:cstheme="minorHAnsi"/>
          <w:b/>
          <w:bCs/>
          <w:sz w:val="27"/>
          <w:szCs w:val="27"/>
          <w:lang w:val="en-GB" w:eastAsia="en-GB"/>
        </w:rPr>
        <w:t>Solution Architecture</w:t>
      </w:r>
    </w:p>
    <w:p w14:paraId="48D375EF" w14:textId="77777777" w:rsidR="00450C4A" w:rsidRDefault="00450C4A" w:rsidP="009739DA">
      <w:pPr>
        <w:spacing w:before="100" w:beforeAutospacing="1" w:after="100" w:afterAutospacing="1" w:line="240" w:lineRule="auto"/>
        <w:outlineLvl w:val="2"/>
        <w:rPr>
          <w:rFonts w:eastAsia="Times New Roman" w:cstheme="minorHAnsi"/>
          <w:b/>
          <w:bCs/>
          <w:sz w:val="27"/>
          <w:szCs w:val="27"/>
          <w:lang w:val="en-GB" w:eastAsia="en-GB"/>
        </w:rPr>
      </w:pPr>
    </w:p>
    <w:p w14:paraId="730BD967" w14:textId="4B1440DD" w:rsidR="00450C4A" w:rsidRPr="009739DA" w:rsidRDefault="002B3B9A" w:rsidP="009739DA">
      <w:pPr>
        <w:spacing w:before="100" w:beforeAutospacing="1" w:after="100" w:afterAutospacing="1" w:line="240" w:lineRule="auto"/>
        <w:outlineLvl w:val="2"/>
        <w:rPr>
          <w:rFonts w:eastAsia="Times New Roman" w:cstheme="minorHAnsi"/>
          <w:b/>
          <w:bCs/>
          <w:sz w:val="27"/>
          <w:szCs w:val="27"/>
          <w:lang w:val="en-GB" w:eastAsia="en-GB"/>
        </w:rPr>
      </w:pPr>
      <w:r>
        <w:rPr>
          <w:noProof/>
        </w:rPr>
        <w:drawing>
          <wp:inline distT="0" distB="0" distL="0" distR="0" wp14:anchorId="63094576" wp14:editId="2B16398D">
            <wp:extent cx="5943600" cy="3343275"/>
            <wp:effectExtent l="0" t="0" r="0" b="9525"/>
            <wp:docPr id="17228692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69278"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343275"/>
                    </a:xfrm>
                    <a:prstGeom prst="rect">
                      <a:avLst/>
                    </a:prstGeom>
                  </pic:spPr>
                </pic:pic>
              </a:graphicData>
            </a:graphic>
          </wp:inline>
        </w:drawing>
      </w:r>
    </w:p>
    <w:p w14:paraId="52165CBB" w14:textId="77777777" w:rsidR="009739DA" w:rsidRPr="009739DA" w:rsidRDefault="009739DA" w:rsidP="009739DA">
      <w:pPr>
        <w:spacing w:before="100" w:beforeAutospacing="1" w:after="100" w:afterAutospacing="1" w:line="240" w:lineRule="auto"/>
        <w:rPr>
          <w:rFonts w:eastAsia="Times New Roman" w:cstheme="minorHAnsi"/>
          <w:sz w:val="24"/>
          <w:szCs w:val="24"/>
          <w:lang w:val="en-GB" w:eastAsia="en-GB"/>
        </w:rPr>
      </w:pPr>
      <w:r w:rsidRPr="009739DA">
        <w:rPr>
          <w:rFonts w:eastAsia="Calibri" w:cstheme="minorHAnsi"/>
          <w:lang w:val="en-GB"/>
        </w:rPr>
        <w:lastRenderedPageBreak/>
        <w:t>A comprehensive test data solution was implemented to support end-to-end testing, validation, and reconciliation across a distributed ecosystem. The architecture spans reference data management, synthetic data generation, orchestration, event-driven integration, and observability</w:t>
      </w:r>
      <w:r w:rsidRPr="009739DA">
        <w:rPr>
          <w:rFonts w:eastAsia="Times New Roman" w:cstheme="minorHAnsi"/>
          <w:sz w:val="24"/>
          <w:szCs w:val="24"/>
          <w:lang w:val="en-GB" w:eastAsia="en-GB"/>
        </w:rPr>
        <w:t>.</w:t>
      </w:r>
    </w:p>
    <w:p w14:paraId="3EF049E6" w14:textId="77777777" w:rsidR="009739DA" w:rsidRPr="009739DA" w:rsidRDefault="002B3B9A" w:rsidP="009739DA">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52D40940">
          <v:rect id="_x0000_i1333" style="width:0;height:1.5pt" o:hralign="center" o:hrstd="t" o:hr="t" fillcolor="#a0a0a0" stroked="f"/>
        </w:pict>
      </w:r>
    </w:p>
    <w:p w14:paraId="234FDFD6" w14:textId="77777777" w:rsidR="009739DA" w:rsidRPr="009739DA" w:rsidRDefault="009739DA" w:rsidP="009739DA">
      <w:pPr>
        <w:spacing w:before="100" w:beforeAutospacing="1" w:after="100" w:afterAutospacing="1" w:line="240" w:lineRule="auto"/>
        <w:outlineLvl w:val="3"/>
        <w:rPr>
          <w:rFonts w:eastAsia="Times New Roman" w:cstheme="minorHAnsi"/>
          <w:b/>
          <w:bCs/>
          <w:sz w:val="24"/>
          <w:szCs w:val="24"/>
          <w:lang w:val="en-GB" w:eastAsia="en-GB"/>
        </w:rPr>
      </w:pPr>
      <w:r w:rsidRPr="009739DA">
        <w:rPr>
          <w:rFonts w:eastAsia="Times New Roman" w:cstheme="minorHAnsi"/>
          <w:b/>
          <w:bCs/>
          <w:sz w:val="24"/>
          <w:szCs w:val="24"/>
          <w:lang w:val="en-GB" w:eastAsia="en-GB"/>
        </w:rPr>
        <w:t>Reference Data Management</w:t>
      </w:r>
    </w:p>
    <w:p w14:paraId="4A4AE211" w14:textId="77777777" w:rsidR="009739DA" w:rsidRPr="009739DA" w:rsidRDefault="009739DA" w:rsidP="009739DA">
      <w:pPr>
        <w:spacing w:before="100" w:beforeAutospacing="1" w:after="100" w:afterAutospacing="1" w:line="240" w:lineRule="auto"/>
        <w:rPr>
          <w:rFonts w:eastAsia="Times New Roman" w:cstheme="minorHAnsi"/>
          <w:lang w:val="en-GB" w:eastAsia="en-GB"/>
        </w:rPr>
      </w:pPr>
      <w:r w:rsidRPr="009739DA">
        <w:rPr>
          <w:rFonts w:eastAsia="Times New Roman" w:cstheme="minorHAnsi"/>
          <w:lang w:val="en-GB" w:eastAsia="en-GB"/>
        </w:rPr>
        <w:t xml:space="preserve">Reference data was identified across all relevant source systems and centralized in </w:t>
      </w:r>
      <w:r w:rsidRPr="009739DA">
        <w:rPr>
          <w:rFonts w:eastAsia="Times New Roman" w:cstheme="minorHAnsi"/>
          <w:b/>
          <w:bCs/>
          <w:lang w:val="en-GB" w:eastAsia="en-GB"/>
        </w:rPr>
        <w:t>Amazon DynamoDB</w:t>
      </w:r>
      <w:r w:rsidRPr="009739DA">
        <w:rPr>
          <w:rFonts w:eastAsia="Times New Roman" w:cstheme="minorHAnsi"/>
          <w:lang w:val="en-GB" w:eastAsia="en-GB"/>
        </w:rPr>
        <w:t>. Systems requiring reference data make direct calls to DynamoDB, ensuring consistency and eliminating duplication.</w:t>
      </w:r>
    </w:p>
    <w:p w14:paraId="35CF9166" w14:textId="77777777" w:rsidR="009739DA" w:rsidRPr="009739DA" w:rsidRDefault="002B3B9A" w:rsidP="009739DA">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2B73B44B">
          <v:rect id="_x0000_i1334" style="width:0;height:1.5pt" o:hralign="center" o:hrstd="t" o:hr="t" fillcolor="#a0a0a0" stroked="f"/>
        </w:pict>
      </w:r>
    </w:p>
    <w:p w14:paraId="7709CD1E" w14:textId="77777777" w:rsidR="009739DA" w:rsidRPr="009739DA" w:rsidRDefault="009739DA" w:rsidP="009739DA">
      <w:pPr>
        <w:spacing w:before="100" w:beforeAutospacing="1" w:after="100" w:afterAutospacing="1" w:line="240" w:lineRule="auto"/>
        <w:outlineLvl w:val="3"/>
        <w:rPr>
          <w:rFonts w:eastAsia="Times New Roman" w:cstheme="minorHAnsi"/>
          <w:b/>
          <w:bCs/>
          <w:sz w:val="24"/>
          <w:szCs w:val="24"/>
          <w:lang w:val="en-GB" w:eastAsia="en-GB"/>
        </w:rPr>
      </w:pPr>
      <w:r w:rsidRPr="009739DA">
        <w:rPr>
          <w:rFonts w:eastAsia="Times New Roman" w:cstheme="minorHAnsi"/>
          <w:b/>
          <w:bCs/>
          <w:sz w:val="24"/>
          <w:szCs w:val="24"/>
          <w:lang w:val="en-GB" w:eastAsia="en-GB"/>
        </w:rPr>
        <w:t>Synthetic Transactional Data Generation</w:t>
      </w:r>
    </w:p>
    <w:p w14:paraId="4E0EFAA6" w14:textId="77777777" w:rsidR="009739DA" w:rsidRPr="009739DA" w:rsidRDefault="009739DA" w:rsidP="009739DA">
      <w:pPr>
        <w:spacing w:before="100" w:beforeAutospacing="1" w:after="100" w:afterAutospacing="1" w:line="240" w:lineRule="auto"/>
        <w:rPr>
          <w:rFonts w:eastAsia="Times New Roman" w:cstheme="minorHAnsi"/>
          <w:lang w:val="en-GB" w:eastAsia="en-GB"/>
        </w:rPr>
      </w:pPr>
      <w:r w:rsidRPr="009739DA">
        <w:rPr>
          <w:rFonts w:eastAsia="Times New Roman" w:cstheme="minorHAnsi"/>
          <w:lang w:val="en-GB" w:eastAsia="en-GB"/>
        </w:rPr>
        <w:t xml:space="preserve">Transactional data was generated using </w:t>
      </w:r>
      <w:r w:rsidRPr="009739DA">
        <w:rPr>
          <w:rFonts w:eastAsia="Times New Roman" w:cstheme="minorHAnsi"/>
          <w:b/>
          <w:bCs/>
          <w:lang w:val="en-GB" w:eastAsia="en-GB"/>
        </w:rPr>
        <w:t>Python Faker</w:t>
      </w:r>
      <w:r w:rsidRPr="009739DA">
        <w:rPr>
          <w:rFonts w:eastAsia="Times New Roman" w:cstheme="minorHAnsi"/>
          <w:lang w:val="en-GB" w:eastAsia="en-GB"/>
        </w:rPr>
        <w:t>, which seamlessly inserts synthetic records into DynamoDB. This approach supports scalable, production-safe testing without reliance on sensitive or real-world data.</w:t>
      </w:r>
    </w:p>
    <w:p w14:paraId="2FB28ACC" w14:textId="77777777" w:rsidR="009739DA" w:rsidRPr="009739DA" w:rsidRDefault="002B3B9A" w:rsidP="009739DA">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10D86522">
          <v:rect id="_x0000_i1335" style="width:0;height:1.5pt" o:hralign="center" o:hrstd="t" o:hr="t" fillcolor="#a0a0a0" stroked="f"/>
        </w:pict>
      </w:r>
    </w:p>
    <w:p w14:paraId="6F837B70" w14:textId="77777777" w:rsidR="009739DA" w:rsidRPr="009739DA" w:rsidRDefault="009739DA" w:rsidP="009739DA">
      <w:pPr>
        <w:spacing w:before="100" w:beforeAutospacing="1" w:after="100" w:afterAutospacing="1" w:line="240" w:lineRule="auto"/>
        <w:outlineLvl w:val="3"/>
        <w:rPr>
          <w:rFonts w:eastAsia="Times New Roman" w:cstheme="minorHAnsi"/>
          <w:b/>
          <w:bCs/>
          <w:sz w:val="24"/>
          <w:szCs w:val="24"/>
          <w:lang w:val="en-GB" w:eastAsia="en-GB"/>
        </w:rPr>
      </w:pPr>
      <w:r w:rsidRPr="009739DA">
        <w:rPr>
          <w:rFonts w:eastAsia="Times New Roman" w:cstheme="minorHAnsi"/>
          <w:b/>
          <w:bCs/>
          <w:sz w:val="24"/>
          <w:szCs w:val="24"/>
          <w:lang w:val="en-GB" w:eastAsia="en-GB"/>
        </w:rPr>
        <w:t>Test Data Orchestration</w:t>
      </w:r>
    </w:p>
    <w:p w14:paraId="222374E5" w14:textId="77777777" w:rsidR="009739DA" w:rsidRPr="009739DA" w:rsidRDefault="009739DA" w:rsidP="009739DA">
      <w:pPr>
        <w:spacing w:before="100" w:beforeAutospacing="1" w:after="100" w:afterAutospacing="1" w:line="240" w:lineRule="auto"/>
        <w:rPr>
          <w:rFonts w:eastAsia="Times New Roman" w:cstheme="minorHAnsi"/>
          <w:lang w:val="en-GB" w:eastAsia="en-GB"/>
        </w:rPr>
      </w:pPr>
      <w:r w:rsidRPr="009739DA">
        <w:rPr>
          <w:rFonts w:eastAsia="Times New Roman" w:cstheme="minorHAnsi"/>
          <w:lang w:val="en-GB" w:eastAsia="en-GB"/>
        </w:rPr>
        <w:t xml:space="preserve">Orchestration was achieved using </w:t>
      </w:r>
      <w:r w:rsidRPr="009739DA">
        <w:rPr>
          <w:rFonts w:eastAsia="Times New Roman" w:cstheme="minorHAnsi"/>
          <w:b/>
          <w:bCs/>
          <w:lang w:val="en-GB" w:eastAsia="en-GB"/>
        </w:rPr>
        <w:t>Playwright</w:t>
      </w:r>
      <w:r w:rsidRPr="009739DA">
        <w:rPr>
          <w:rFonts w:eastAsia="Times New Roman" w:cstheme="minorHAnsi"/>
          <w:lang w:val="en-GB" w:eastAsia="en-GB"/>
        </w:rPr>
        <w:t>, which automates the insertion of data into the source system—</w:t>
      </w:r>
      <w:r w:rsidRPr="009739DA">
        <w:rPr>
          <w:rFonts w:eastAsia="Times New Roman" w:cstheme="minorHAnsi"/>
          <w:b/>
          <w:bCs/>
          <w:lang w:val="en-GB" w:eastAsia="en-GB"/>
        </w:rPr>
        <w:t>Insight</w:t>
      </w:r>
      <w:r w:rsidRPr="009739DA">
        <w:rPr>
          <w:rFonts w:eastAsia="Times New Roman" w:cstheme="minorHAnsi"/>
          <w:lang w:val="en-GB" w:eastAsia="en-GB"/>
        </w:rPr>
        <w:t xml:space="preserve">, representing the underwriter application. Once an event is created in Insight, it is published to </w:t>
      </w:r>
      <w:r w:rsidRPr="009739DA">
        <w:rPr>
          <w:rFonts w:eastAsia="Times New Roman" w:cstheme="minorHAnsi"/>
          <w:b/>
          <w:bCs/>
          <w:lang w:val="en-GB" w:eastAsia="en-GB"/>
        </w:rPr>
        <w:t>Confluent Kafka</w:t>
      </w:r>
      <w:r w:rsidRPr="009739DA">
        <w:rPr>
          <w:rFonts w:eastAsia="Times New Roman" w:cstheme="minorHAnsi"/>
          <w:lang w:val="en-GB" w:eastAsia="en-GB"/>
        </w:rPr>
        <w:t xml:space="preserve">, where the </w:t>
      </w:r>
      <w:r w:rsidRPr="009739DA">
        <w:rPr>
          <w:rFonts w:eastAsia="Times New Roman" w:cstheme="minorHAnsi"/>
          <w:b/>
          <w:bCs/>
          <w:lang w:val="en-GB" w:eastAsia="en-GB"/>
        </w:rPr>
        <w:t>data enrichment process</w:t>
      </w:r>
      <w:r w:rsidRPr="009739DA">
        <w:rPr>
          <w:rFonts w:eastAsia="Times New Roman" w:cstheme="minorHAnsi"/>
          <w:lang w:val="en-GB" w:eastAsia="en-GB"/>
        </w:rPr>
        <w:t xml:space="preserve"> is triggered.</w:t>
      </w:r>
    </w:p>
    <w:p w14:paraId="45483CBF" w14:textId="77777777" w:rsidR="009739DA" w:rsidRPr="009739DA" w:rsidRDefault="002B3B9A" w:rsidP="009739DA">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58AC928E">
          <v:rect id="_x0000_i1336" style="width:0;height:1.5pt" o:hralign="center" o:hrstd="t" o:hr="t" fillcolor="#a0a0a0" stroked="f"/>
        </w:pict>
      </w:r>
    </w:p>
    <w:p w14:paraId="7F4F5721" w14:textId="77777777" w:rsidR="009739DA" w:rsidRPr="009739DA" w:rsidRDefault="009739DA" w:rsidP="009739DA">
      <w:pPr>
        <w:spacing w:before="100" w:beforeAutospacing="1" w:after="100" w:afterAutospacing="1" w:line="240" w:lineRule="auto"/>
        <w:outlineLvl w:val="3"/>
        <w:rPr>
          <w:rFonts w:eastAsia="Times New Roman" w:cstheme="minorHAnsi"/>
          <w:b/>
          <w:bCs/>
          <w:sz w:val="24"/>
          <w:szCs w:val="24"/>
          <w:lang w:val="en-GB" w:eastAsia="en-GB"/>
        </w:rPr>
      </w:pPr>
      <w:r w:rsidRPr="009739DA">
        <w:rPr>
          <w:rFonts w:eastAsia="Times New Roman" w:cstheme="minorHAnsi"/>
          <w:b/>
          <w:bCs/>
          <w:sz w:val="24"/>
          <w:szCs w:val="24"/>
          <w:lang w:val="en-GB" w:eastAsia="en-GB"/>
        </w:rPr>
        <w:t>Event Consumption and Integration</w:t>
      </w:r>
    </w:p>
    <w:p w14:paraId="21CE94D6" w14:textId="77777777" w:rsidR="009739DA" w:rsidRPr="009739DA" w:rsidRDefault="009739DA" w:rsidP="009739DA">
      <w:pPr>
        <w:spacing w:before="100" w:beforeAutospacing="1" w:after="100" w:afterAutospacing="1" w:line="240" w:lineRule="auto"/>
        <w:rPr>
          <w:rFonts w:eastAsia="Times New Roman" w:cstheme="minorHAnsi"/>
          <w:lang w:val="en-GB" w:eastAsia="en-GB"/>
        </w:rPr>
      </w:pPr>
      <w:r w:rsidRPr="009739DA">
        <w:rPr>
          <w:rFonts w:eastAsia="Times New Roman" w:cstheme="minorHAnsi"/>
          <w:lang w:val="en-GB" w:eastAsia="en-GB"/>
        </w:rPr>
        <w:t xml:space="preserve">Enriched events are made available on a </w:t>
      </w:r>
      <w:r w:rsidRPr="009739DA">
        <w:rPr>
          <w:rFonts w:eastAsia="Times New Roman" w:cstheme="minorHAnsi"/>
          <w:b/>
          <w:bCs/>
          <w:lang w:val="en-GB" w:eastAsia="en-GB"/>
        </w:rPr>
        <w:t>public Kafka cluster</w:t>
      </w:r>
      <w:r w:rsidRPr="009739DA">
        <w:rPr>
          <w:rFonts w:eastAsia="Times New Roman" w:cstheme="minorHAnsi"/>
          <w:lang w:val="en-GB" w:eastAsia="en-GB"/>
        </w:rPr>
        <w:t xml:space="preserve">, from which downstream consumers retrieve them. The primary consumer is </w:t>
      </w:r>
      <w:r w:rsidRPr="009739DA">
        <w:rPr>
          <w:rFonts w:eastAsia="Times New Roman" w:cstheme="minorHAnsi"/>
          <w:b/>
          <w:bCs/>
          <w:lang w:val="en-GB" w:eastAsia="en-GB"/>
        </w:rPr>
        <w:t>Guidewire PolicyCenter (PC)</w:t>
      </w:r>
      <w:r w:rsidRPr="009739DA">
        <w:rPr>
          <w:rFonts w:eastAsia="Times New Roman" w:cstheme="minorHAnsi"/>
          <w:lang w:val="en-GB" w:eastAsia="en-GB"/>
        </w:rPr>
        <w:t xml:space="preserve">, integrated via a </w:t>
      </w:r>
      <w:r w:rsidRPr="009739DA">
        <w:rPr>
          <w:rFonts w:eastAsia="Times New Roman" w:cstheme="minorHAnsi"/>
          <w:b/>
          <w:bCs/>
          <w:lang w:val="en-GB" w:eastAsia="en-GB"/>
        </w:rPr>
        <w:t>custom Integration Gateway</w:t>
      </w:r>
      <w:r w:rsidRPr="009739DA">
        <w:rPr>
          <w:rFonts w:eastAsia="Times New Roman" w:cstheme="minorHAnsi"/>
          <w:lang w:val="en-GB" w:eastAsia="en-GB"/>
        </w:rPr>
        <w:t>.</w:t>
      </w:r>
    </w:p>
    <w:p w14:paraId="0D30955C" w14:textId="77777777" w:rsidR="009739DA" w:rsidRPr="009739DA" w:rsidRDefault="009739DA" w:rsidP="009739DA">
      <w:pPr>
        <w:spacing w:before="100" w:beforeAutospacing="1" w:after="100" w:afterAutospacing="1" w:line="240" w:lineRule="auto"/>
        <w:rPr>
          <w:rFonts w:eastAsia="Times New Roman" w:cstheme="minorHAnsi"/>
          <w:lang w:val="en-GB" w:eastAsia="en-GB"/>
        </w:rPr>
      </w:pPr>
      <w:r w:rsidRPr="009739DA">
        <w:rPr>
          <w:rFonts w:eastAsia="Times New Roman" w:cstheme="minorHAnsi"/>
          <w:lang w:val="en-GB" w:eastAsia="en-GB"/>
        </w:rPr>
        <w:t>The gateway performs validation on incoming events:</w:t>
      </w:r>
    </w:p>
    <w:p w14:paraId="1BDEA611" w14:textId="77777777" w:rsidR="009739DA" w:rsidRPr="009739DA" w:rsidRDefault="009739DA" w:rsidP="009739DA">
      <w:pPr>
        <w:numPr>
          <w:ilvl w:val="0"/>
          <w:numId w:val="12"/>
        </w:numPr>
        <w:spacing w:before="100" w:beforeAutospacing="1" w:after="100" w:afterAutospacing="1" w:line="240" w:lineRule="auto"/>
        <w:rPr>
          <w:rFonts w:eastAsia="Times New Roman" w:cstheme="minorHAnsi"/>
          <w:lang w:val="en-GB" w:eastAsia="en-GB"/>
        </w:rPr>
      </w:pPr>
      <w:r w:rsidRPr="009739DA">
        <w:rPr>
          <w:rFonts w:eastAsia="Times New Roman" w:cstheme="minorHAnsi"/>
          <w:b/>
          <w:bCs/>
          <w:lang w:val="en-GB" w:eastAsia="en-GB"/>
        </w:rPr>
        <w:t>Failed validations</w:t>
      </w:r>
      <w:r w:rsidRPr="009739DA">
        <w:rPr>
          <w:rFonts w:eastAsia="Times New Roman" w:cstheme="minorHAnsi"/>
          <w:lang w:val="en-GB" w:eastAsia="en-GB"/>
        </w:rPr>
        <w:t xml:space="preserve"> are routed to an </w:t>
      </w:r>
      <w:r w:rsidRPr="009739DA">
        <w:rPr>
          <w:rFonts w:eastAsia="Times New Roman" w:cstheme="minorHAnsi"/>
          <w:b/>
          <w:bCs/>
          <w:lang w:val="en-GB" w:eastAsia="en-GB"/>
        </w:rPr>
        <w:t>exception queue</w:t>
      </w:r>
      <w:r w:rsidRPr="009739DA">
        <w:rPr>
          <w:rFonts w:eastAsia="Times New Roman" w:cstheme="minorHAnsi"/>
          <w:lang w:val="en-GB" w:eastAsia="en-GB"/>
        </w:rPr>
        <w:t xml:space="preserve"> in </w:t>
      </w:r>
      <w:r w:rsidRPr="009739DA">
        <w:rPr>
          <w:rFonts w:eastAsia="Times New Roman" w:cstheme="minorHAnsi"/>
          <w:b/>
          <w:bCs/>
          <w:lang w:val="en-GB" w:eastAsia="en-GB"/>
        </w:rPr>
        <w:t>AWS S3</w:t>
      </w:r>
      <w:r w:rsidRPr="009739DA">
        <w:rPr>
          <w:rFonts w:eastAsia="Times New Roman" w:cstheme="minorHAnsi"/>
          <w:lang w:val="en-GB" w:eastAsia="en-GB"/>
        </w:rPr>
        <w:t>, enabling traceability and audit.</w:t>
      </w:r>
    </w:p>
    <w:p w14:paraId="4795A421" w14:textId="77777777" w:rsidR="009739DA" w:rsidRPr="009739DA" w:rsidRDefault="009739DA" w:rsidP="009739DA">
      <w:pPr>
        <w:numPr>
          <w:ilvl w:val="0"/>
          <w:numId w:val="12"/>
        </w:numPr>
        <w:spacing w:before="100" w:beforeAutospacing="1" w:after="100" w:afterAutospacing="1" w:line="240" w:lineRule="auto"/>
        <w:rPr>
          <w:rFonts w:eastAsia="Times New Roman" w:cstheme="minorHAnsi"/>
          <w:lang w:val="en-GB" w:eastAsia="en-GB"/>
        </w:rPr>
      </w:pPr>
      <w:r w:rsidRPr="009739DA">
        <w:rPr>
          <w:rFonts w:eastAsia="Times New Roman" w:cstheme="minorHAnsi"/>
          <w:b/>
          <w:bCs/>
          <w:lang w:val="en-GB" w:eastAsia="en-GB"/>
        </w:rPr>
        <w:t>Successful validations</w:t>
      </w:r>
      <w:r w:rsidRPr="009739DA">
        <w:rPr>
          <w:rFonts w:eastAsia="Times New Roman" w:cstheme="minorHAnsi"/>
          <w:lang w:val="en-GB" w:eastAsia="en-GB"/>
        </w:rPr>
        <w:t xml:space="preserve"> are forwarded to </w:t>
      </w:r>
      <w:r w:rsidRPr="009739DA">
        <w:rPr>
          <w:rFonts w:eastAsia="Times New Roman" w:cstheme="minorHAnsi"/>
          <w:b/>
          <w:bCs/>
          <w:lang w:val="en-GB" w:eastAsia="en-GB"/>
        </w:rPr>
        <w:t>Guidewire PolicyCenter</w:t>
      </w:r>
      <w:r w:rsidRPr="009739DA">
        <w:rPr>
          <w:rFonts w:eastAsia="Times New Roman" w:cstheme="minorHAnsi"/>
          <w:lang w:val="en-GB" w:eastAsia="en-GB"/>
        </w:rPr>
        <w:t xml:space="preserve"> for policy processing.</w:t>
      </w:r>
    </w:p>
    <w:p w14:paraId="52C66A8B" w14:textId="77777777" w:rsidR="009739DA" w:rsidRPr="009739DA" w:rsidRDefault="009739DA" w:rsidP="009739DA">
      <w:pPr>
        <w:spacing w:before="100" w:beforeAutospacing="1" w:after="100" w:afterAutospacing="1" w:line="240" w:lineRule="auto"/>
        <w:rPr>
          <w:rFonts w:eastAsia="Times New Roman" w:cstheme="minorHAnsi"/>
          <w:lang w:val="en-GB" w:eastAsia="en-GB"/>
        </w:rPr>
      </w:pPr>
      <w:r w:rsidRPr="009739DA">
        <w:rPr>
          <w:rFonts w:eastAsia="Times New Roman" w:cstheme="minorHAnsi"/>
          <w:lang w:val="en-GB" w:eastAsia="en-GB"/>
        </w:rPr>
        <w:t xml:space="preserve">Post-processing includes replication of policy details into </w:t>
      </w:r>
      <w:r w:rsidRPr="009739DA">
        <w:rPr>
          <w:rFonts w:eastAsia="Times New Roman" w:cstheme="minorHAnsi"/>
          <w:b/>
          <w:bCs/>
          <w:lang w:val="en-GB" w:eastAsia="en-GB"/>
        </w:rPr>
        <w:t>Guidewire BillingCenter</w:t>
      </w:r>
      <w:r w:rsidRPr="009739DA">
        <w:rPr>
          <w:rFonts w:eastAsia="Times New Roman" w:cstheme="minorHAnsi"/>
          <w:lang w:val="en-GB" w:eastAsia="en-GB"/>
        </w:rPr>
        <w:t>, ensuring data consistency across core systems.</w:t>
      </w:r>
    </w:p>
    <w:p w14:paraId="20F22732" w14:textId="77777777" w:rsidR="009739DA" w:rsidRPr="009739DA" w:rsidRDefault="002B3B9A" w:rsidP="009739DA">
      <w:pPr>
        <w:spacing w:after="0" w:line="240" w:lineRule="auto"/>
        <w:rPr>
          <w:rFonts w:eastAsia="Times New Roman" w:cstheme="minorHAnsi"/>
          <w:sz w:val="24"/>
          <w:szCs w:val="24"/>
          <w:lang w:val="en-GB" w:eastAsia="en-GB"/>
        </w:rPr>
      </w:pPr>
      <w:r>
        <w:rPr>
          <w:rFonts w:eastAsia="Times New Roman" w:cstheme="minorHAnsi"/>
          <w:lang w:val="en-GB" w:eastAsia="en-GB"/>
        </w:rPr>
        <w:pict w14:anchorId="6F7F3D2E">
          <v:rect id="_x0000_i1337" style="width:0;height:1.5pt" o:hralign="center" o:hrstd="t" o:hr="t" fillcolor="#a0a0a0" stroked="f"/>
        </w:pict>
      </w:r>
    </w:p>
    <w:p w14:paraId="04D674B2" w14:textId="77777777" w:rsidR="009739DA" w:rsidRPr="009739DA" w:rsidRDefault="009739DA" w:rsidP="009739DA">
      <w:pPr>
        <w:spacing w:before="100" w:beforeAutospacing="1" w:after="100" w:afterAutospacing="1" w:line="240" w:lineRule="auto"/>
        <w:outlineLvl w:val="3"/>
        <w:rPr>
          <w:rFonts w:eastAsia="Times New Roman" w:cstheme="minorHAnsi"/>
          <w:b/>
          <w:bCs/>
          <w:sz w:val="24"/>
          <w:szCs w:val="24"/>
          <w:lang w:val="en-GB" w:eastAsia="en-GB"/>
        </w:rPr>
      </w:pPr>
      <w:r w:rsidRPr="009739DA">
        <w:rPr>
          <w:rFonts w:eastAsia="Times New Roman" w:cstheme="minorHAnsi"/>
          <w:b/>
          <w:bCs/>
          <w:sz w:val="24"/>
          <w:szCs w:val="24"/>
          <w:lang w:val="en-GB" w:eastAsia="en-GB"/>
        </w:rPr>
        <w:lastRenderedPageBreak/>
        <w:t>Event Publishing and Downstream Consumption</w:t>
      </w:r>
    </w:p>
    <w:p w14:paraId="324787BD" w14:textId="77777777" w:rsidR="009739DA" w:rsidRPr="009739DA" w:rsidRDefault="009739DA" w:rsidP="009739DA">
      <w:pPr>
        <w:spacing w:before="100" w:beforeAutospacing="1" w:after="100" w:afterAutospacing="1" w:line="240" w:lineRule="auto"/>
        <w:rPr>
          <w:rFonts w:eastAsia="Times New Roman" w:cstheme="minorHAnsi"/>
          <w:lang w:val="en-GB" w:eastAsia="en-GB"/>
        </w:rPr>
      </w:pPr>
      <w:r w:rsidRPr="009739DA">
        <w:rPr>
          <w:rFonts w:eastAsia="Times New Roman" w:cstheme="minorHAnsi"/>
          <w:lang w:val="en-GB" w:eastAsia="en-GB"/>
        </w:rPr>
        <w:t xml:space="preserve">Once Guidewire completes processing, the Integration Gateway </w:t>
      </w:r>
      <w:r w:rsidRPr="009739DA">
        <w:rPr>
          <w:rFonts w:eastAsia="Times New Roman" w:cstheme="minorHAnsi"/>
          <w:b/>
          <w:bCs/>
          <w:lang w:val="en-GB" w:eastAsia="en-GB"/>
        </w:rPr>
        <w:t>publishes the updated event back to a Kafka topic</w:t>
      </w:r>
      <w:r w:rsidRPr="009739DA">
        <w:rPr>
          <w:rFonts w:eastAsia="Times New Roman" w:cstheme="minorHAnsi"/>
          <w:lang w:val="en-GB" w:eastAsia="en-GB"/>
        </w:rPr>
        <w:t>, enabling other systems to react to the updated status.</w:t>
      </w:r>
    </w:p>
    <w:p w14:paraId="7D2F248A" w14:textId="77777777" w:rsidR="009739DA" w:rsidRPr="009739DA" w:rsidRDefault="009739DA" w:rsidP="009739DA">
      <w:pPr>
        <w:spacing w:before="100" w:beforeAutospacing="1" w:after="100" w:afterAutospacing="1" w:line="240" w:lineRule="auto"/>
        <w:rPr>
          <w:rFonts w:eastAsia="Times New Roman" w:cstheme="minorHAnsi"/>
          <w:lang w:val="en-GB" w:eastAsia="en-GB"/>
        </w:rPr>
      </w:pPr>
      <w:r w:rsidRPr="009739DA">
        <w:rPr>
          <w:rFonts w:eastAsia="Times New Roman" w:cstheme="minorHAnsi"/>
          <w:lang w:val="en-GB" w:eastAsia="en-GB"/>
        </w:rPr>
        <w:t xml:space="preserve">These messages are also made available via </w:t>
      </w:r>
      <w:r w:rsidRPr="009739DA">
        <w:rPr>
          <w:rFonts w:eastAsia="Times New Roman" w:cstheme="minorHAnsi"/>
          <w:b/>
          <w:bCs/>
          <w:lang w:val="en-GB" w:eastAsia="en-GB"/>
        </w:rPr>
        <w:t>Cloud Data Access (CDA)</w:t>
      </w:r>
      <w:r w:rsidRPr="009739DA">
        <w:rPr>
          <w:rFonts w:eastAsia="Times New Roman" w:cstheme="minorHAnsi"/>
          <w:lang w:val="en-GB" w:eastAsia="en-GB"/>
        </w:rPr>
        <w:t xml:space="preserve">. A </w:t>
      </w:r>
      <w:r w:rsidRPr="009739DA">
        <w:rPr>
          <w:rFonts w:eastAsia="Times New Roman" w:cstheme="minorHAnsi"/>
          <w:b/>
          <w:bCs/>
          <w:lang w:val="en-GB" w:eastAsia="en-GB"/>
        </w:rPr>
        <w:t>Fivetran Kafka connector</w:t>
      </w:r>
      <w:r w:rsidRPr="009739DA">
        <w:rPr>
          <w:rFonts w:eastAsia="Times New Roman" w:cstheme="minorHAnsi"/>
          <w:lang w:val="en-GB" w:eastAsia="en-GB"/>
        </w:rPr>
        <w:t xml:space="preserve"> pulls messages from CDA every 15 minutes and loads them into </w:t>
      </w:r>
      <w:r w:rsidRPr="009739DA">
        <w:rPr>
          <w:rFonts w:eastAsia="Times New Roman" w:cstheme="minorHAnsi"/>
          <w:b/>
          <w:bCs/>
          <w:lang w:val="en-GB" w:eastAsia="en-GB"/>
        </w:rPr>
        <w:t>Snowflake</w:t>
      </w:r>
      <w:r w:rsidRPr="009739DA">
        <w:rPr>
          <w:rFonts w:eastAsia="Times New Roman" w:cstheme="minorHAnsi"/>
          <w:lang w:val="en-GB" w:eastAsia="en-GB"/>
        </w:rPr>
        <w:t>.</w:t>
      </w:r>
    </w:p>
    <w:p w14:paraId="1499BBE5" w14:textId="77777777" w:rsidR="009739DA" w:rsidRPr="009739DA" w:rsidRDefault="009739DA" w:rsidP="009739DA">
      <w:pPr>
        <w:numPr>
          <w:ilvl w:val="0"/>
          <w:numId w:val="13"/>
        </w:numPr>
        <w:spacing w:before="100" w:beforeAutospacing="1" w:after="100" w:afterAutospacing="1" w:line="240" w:lineRule="auto"/>
        <w:rPr>
          <w:rFonts w:eastAsia="Times New Roman" w:cstheme="minorHAnsi"/>
          <w:lang w:val="en-GB" w:eastAsia="en-GB"/>
        </w:rPr>
      </w:pPr>
      <w:r w:rsidRPr="009739DA">
        <w:rPr>
          <w:rFonts w:eastAsia="Times New Roman" w:cstheme="minorHAnsi"/>
          <w:b/>
          <w:bCs/>
          <w:lang w:val="en-GB" w:eastAsia="en-GB"/>
        </w:rPr>
        <w:t>Reconciliation in Snowflake</w:t>
      </w:r>
      <w:r w:rsidRPr="009739DA">
        <w:rPr>
          <w:rFonts w:eastAsia="Times New Roman" w:cstheme="minorHAnsi"/>
          <w:lang w:val="en-GB" w:eastAsia="en-GB"/>
        </w:rPr>
        <w:t xml:space="preserve">: A </w:t>
      </w:r>
      <w:r w:rsidRPr="009739DA">
        <w:rPr>
          <w:rFonts w:eastAsia="Times New Roman" w:cstheme="minorHAnsi"/>
          <w:b/>
          <w:bCs/>
          <w:lang w:val="en-GB" w:eastAsia="en-GB"/>
        </w:rPr>
        <w:t>Snowflake dashboard</w:t>
      </w:r>
      <w:r w:rsidRPr="009739DA">
        <w:rPr>
          <w:rFonts w:eastAsia="Times New Roman" w:cstheme="minorHAnsi"/>
          <w:lang w:val="en-GB" w:eastAsia="en-GB"/>
        </w:rPr>
        <w:t xml:space="preserve"> was created to verify records based on </w:t>
      </w:r>
      <w:r w:rsidRPr="009739DA">
        <w:rPr>
          <w:rFonts w:eastAsia="Times New Roman" w:cstheme="minorHAnsi"/>
          <w:b/>
          <w:bCs/>
          <w:lang w:val="en-GB" w:eastAsia="en-GB"/>
        </w:rPr>
        <w:t>policy number</w:t>
      </w:r>
      <w:r w:rsidRPr="009739DA">
        <w:rPr>
          <w:rFonts w:eastAsia="Times New Roman" w:cstheme="minorHAnsi"/>
          <w:lang w:val="en-GB" w:eastAsia="en-GB"/>
        </w:rPr>
        <w:t>, ensuring alignment between Kafka events and Snowflake ingestion.</w:t>
      </w:r>
    </w:p>
    <w:p w14:paraId="68C9FA1C" w14:textId="77777777" w:rsidR="009739DA" w:rsidRPr="009739DA" w:rsidRDefault="009739DA" w:rsidP="009739DA">
      <w:pPr>
        <w:numPr>
          <w:ilvl w:val="0"/>
          <w:numId w:val="13"/>
        </w:numPr>
        <w:spacing w:before="100" w:beforeAutospacing="1" w:after="100" w:afterAutospacing="1" w:line="240" w:lineRule="auto"/>
        <w:rPr>
          <w:rFonts w:eastAsia="Times New Roman" w:cstheme="minorHAnsi"/>
          <w:lang w:val="en-GB" w:eastAsia="en-GB"/>
        </w:rPr>
      </w:pPr>
      <w:r w:rsidRPr="009739DA">
        <w:rPr>
          <w:rFonts w:eastAsia="Times New Roman" w:cstheme="minorHAnsi"/>
          <w:b/>
          <w:bCs/>
          <w:lang w:val="en-GB" w:eastAsia="en-GB"/>
        </w:rPr>
        <w:t>Downstream Consumers</w:t>
      </w:r>
      <w:r w:rsidRPr="009739DA">
        <w:rPr>
          <w:rFonts w:eastAsia="Times New Roman" w:cstheme="minorHAnsi"/>
          <w:lang w:val="en-GB" w:eastAsia="en-GB"/>
        </w:rPr>
        <w:t>:</w:t>
      </w:r>
    </w:p>
    <w:p w14:paraId="278CEDAC" w14:textId="77777777" w:rsidR="009739DA" w:rsidRPr="009739DA" w:rsidRDefault="009739DA" w:rsidP="009739DA">
      <w:pPr>
        <w:numPr>
          <w:ilvl w:val="1"/>
          <w:numId w:val="13"/>
        </w:numPr>
        <w:spacing w:before="100" w:beforeAutospacing="1" w:after="100" w:afterAutospacing="1" w:line="240" w:lineRule="auto"/>
        <w:rPr>
          <w:rFonts w:eastAsia="Times New Roman" w:cstheme="minorHAnsi"/>
          <w:lang w:val="en-GB" w:eastAsia="en-GB"/>
        </w:rPr>
      </w:pPr>
      <w:r w:rsidRPr="009739DA">
        <w:rPr>
          <w:rFonts w:eastAsia="Times New Roman" w:cstheme="minorHAnsi"/>
          <w:b/>
          <w:bCs/>
          <w:lang w:val="en-GB" w:eastAsia="en-GB"/>
        </w:rPr>
        <w:t>Finance Systems (e.g., Agresso)</w:t>
      </w:r>
      <w:r w:rsidRPr="009739DA">
        <w:rPr>
          <w:rFonts w:eastAsia="Times New Roman" w:cstheme="minorHAnsi"/>
          <w:lang w:val="en-GB" w:eastAsia="en-GB"/>
        </w:rPr>
        <w:t xml:space="preserve"> consume messages from Snowflake for </w:t>
      </w:r>
      <w:r w:rsidRPr="009739DA">
        <w:rPr>
          <w:rFonts w:eastAsia="Times New Roman" w:cstheme="minorHAnsi"/>
          <w:b/>
          <w:bCs/>
          <w:lang w:val="en-GB" w:eastAsia="en-GB"/>
        </w:rPr>
        <w:t>final settlement</w:t>
      </w:r>
      <w:r w:rsidRPr="009739DA">
        <w:rPr>
          <w:rFonts w:eastAsia="Times New Roman" w:cstheme="minorHAnsi"/>
          <w:lang w:val="en-GB" w:eastAsia="en-GB"/>
        </w:rPr>
        <w:t>.</w:t>
      </w:r>
    </w:p>
    <w:p w14:paraId="6486AFBB" w14:textId="77777777" w:rsidR="009739DA" w:rsidRPr="009739DA" w:rsidRDefault="009739DA" w:rsidP="009739DA">
      <w:pPr>
        <w:numPr>
          <w:ilvl w:val="1"/>
          <w:numId w:val="13"/>
        </w:numPr>
        <w:spacing w:before="100" w:beforeAutospacing="1" w:after="100" w:afterAutospacing="1" w:line="240" w:lineRule="auto"/>
        <w:rPr>
          <w:rFonts w:eastAsia="Times New Roman" w:cstheme="minorHAnsi"/>
          <w:lang w:val="en-GB" w:eastAsia="en-GB"/>
        </w:rPr>
      </w:pPr>
      <w:r w:rsidRPr="009739DA">
        <w:rPr>
          <w:rFonts w:eastAsia="Times New Roman" w:cstheme="minorHAnsi"/>
          <w:b/>
          <w:bCs/>
          <w:lang w:val="en-GB" w:eastAsia="en-GB"/>
        </w:rPr>
        <w:t>Business Intelligence (BI) Reports</w:t>
      </w:r>
      <w:r w:rsidRPr="009739DA">
        <w:rPr>
          <w:rFonts w:eastAsia="Times New Roman" w:cstheme="minorHAnsi"/>
          <w:lang w:val="en-GB" w:eastAsia="en-GB"/>
        </w:rPr>
        <w:t xml:space="preserve"> also consume the same messages for analytics and operational reporting.</w:t>
      </w:r>
    </w:p>
    <w:p w14:paraId="1E108761" w14:textId="77777777" w:rsidR="009739DA" w:rsidRPr="009739DA" w:rsidRDefault="002B3B9A" w:rsidP="009739DA">
      <w:pPr>
        <w:spacing w:after="0" w:line="240" w:lineRule="auto"/>
        <w:rPr>
          <w:rFonts w:eastAsia="Times New Roman" w:cstheme="minorHAnsi"/>
          <w:sz w:val="24"/>
          <w:szCs w:val="24"/>
          <w:lang w:val="en-GB" w:eastAsia="en-GB"/>
        </w:rPr>
      </w:pPr>
      <w:r>
        <w:rPr>
          <w:rFonts w:eastAsia="Times New Roman" w:cstheme="minorHAnsi"/>
          <w:lang w:val="en-GB" w:eastAsia="en-GB"/>
        </w:rPr>
        <w:pict w14:anchorId="7F5B079E">
          <v:rect id="_x0000_i1338" style="width:0;height:1.5pt" o:hralign="center" o:hrstd="t" o:hr="t" fillcolor="#a0a0a0" stroked="f"/>
        </w:pict>
      </w:r>
    </w:p>
    <w:p w14:paraId="7B266409" w14:textId="77777777" w:rsidR="009739DA" w:rsidRPr="009739DA" w:rsidRDefault="009739DA" w:rsidP="009739DA">
      <w:pPr>
        <w:spacing w:before="100" w:beforeAutospacing="1" w:after="100" w:afterAutospacing="1" w:line="240" w:lineRule="auto"/>
        <w:outlineLvl w:val="2"/>
        <w:rPr>
          <w:rFonts w:eastAsia="Times New Roman" w:cstheme="minorHAnsi"/>
          <w:b/>
          <w:bCs/>
          <w:sz w:val="27"/>
          <w:szCs w:val="27"/>
          <w:lang w:val="en-GB" w:eastAsia="en-GB"/>
        </w:rPr>
      </w:pPr>
      <w:r w:rsidRPr="009739DA">
        <w:rPr>
          <w:rFonts w:eastAsia="Times New Roman" w:cstheme="minorHAnsi"/>
          <w:b/>
          <w:bCs/>
          <w:sz w:val="27"/>
          <w:szCs w:val="27"/>
          <w:lang w:val="en-GB" w:eastAsia="en-GB"/>
        </w:rPr>
        <w:t>Data Reconciliation and Observability</w:t>
      </w:r>
    </w:p>
    <w:p w14:paraId="0AD89845" w14:textId="77777777" w:rsidR="009739DA" w:rsidRPr="009739DA" w:rsidRDefault="009739DA" w:rsidP="009739DA">
      <w:pPr>
        <w:spacing w:before="100" w:beforeAutospacing="1" w:after="100" w:afterAutospacing="1" w:line="240" w:lineRule="auto"/>
        <w:rPr>
          <w:rFonts w:eastAsia="Times New Roman" w:cstheme="minorHAnsi"/>
          <w:lang w:val="en-GB" w:eastAsia="en-GB"/>
        </w:rPr>
      </w:pPr>
      <w:r w:rsidRPr="009739DA">
        <w:rPr>
          <w:rFonts w:eastAsia="Times New Roman" w:cstheme="minorHAnsi"/>
          <w:lang w:val="en-GB" w:eastAsia="en-GB"/>
        </w:rPr>
        <w:t>To ensure data integrity and traceability across the pipeline, multiple reconciliation and monitoring mechanisms were implemented:</w:t>
      </w:r>
    </w:p>
    <w:p w14:paraId="3256513B" w14:textId="77777777" w:rsidR="009739DA" w:rsidRPr="009739DA" w:rsidRDefault="009739DA" w:rsidP="009739DA">
      <w:pPr>
        <w:numPr>
          <w:ilvl w:val="0"/>
          <w:numId w:val="14"/>
        </w:numPr>
        <w:spacing w:before="100" w:beforeAutospacing="1" w:after="100" w:afterAutospacing="1" w:line="240" w:lineRule="auto"/>
        <w:rPr>
          <w:rFonts w:eastAsia="Times New Roman" w:cstheme="minorHAnsi"/>
          <w:lang w:val="en-GB" w:eastAsia="en-GB"/>
        </w:rPr>
      </w:pPr>
      <w:r w:rsidRPr="009739DA">
        <w:rPr>
          <w:rFonts w:eastAsia="Times New Roman" w:cstheme="minorHAnsi"/>
          <w:b/>
          <w:bCs/>
          <w:lang w:val="en-GB" w:eastAsia="en-GB"/>
        </w:rPr>
        <w:t>Insight Database Validation</w:t>
      </w:r>
      <w:r w:rsidRPr="009739DA">
        <w:rPr>
          <w:rFonts w:eastAsia="Times New Roman" w:cstheme="minorHAnsi"/>
          <w:lang w:val="en-GB" w:eastAsia="en-GB"/>
        </w:rPr>
        <w:t xml:space="preserve">: A custom </w:t>
      </w:r>
      <w:r w:rsidRPr="009739DA">
        <w:rPr>
          <w:rFonts w:eastAsia="Times New Roman" w:cstheme="minorHAnsi"/>
          <w:b/>
          <w:bCs/>
          <w:lang w:val="en-GB" w:eastAsia="en-GB"/>
        </w:rPr>
        <w:t>Python script</w:t>
      </w:r>
      <w:r w:rsidRPr="009739DA">
        <w:rPr>
          <w:rFonts w:eastAsia="Times New Roman" w:cstheme="minorHAnsi"/>
          <w:lang w:val="en-GB" w:eastAsia="en-GB"/>
        </w:rPr>
        <w:t xml:space="preserve"> queries the Insight database to count the number of events created within a specific time window.</w:t>
      </w:r>
    </w:p>
    <w:p w14:paraId="347706D2" w14:textId="77777777" w:rsidR="009739DA" w:rsidRPr="009739DA" w:rsidRDefault="009739DA" w:rsidP="009739DA">
      <w:pPr>
        <w:numPr>
          <w:ilvl w:val="0"/>
          <w:numId w:val="14"/>
        </w:numPr>
        <w:spacing w:before="100" w:beforeAutospacing="1" w:after="100" w:afterAutospacing="1" w:line="240" w:lineRule="auto"/>
        <w:rPr>
          <w:rFonts w:eastAsia="Times New Roman" w:cstheme="minorHAnsi"/>
          <w:lang w:val="en-GB" w:eastAsia="en-GB"/>
        </w:rPr>
      </w:pPr>
      <w:r w:rsidRPr="009739DA">
        <w:rPr>
          <w:rFonts w:eastAsia="Times New Roman" w:cstheme="minorHAnsi"/>
          <w:b/>
          <w:bCs/>
          <w:lang w:val="en-GB" w:eastAsia="en-GB"/>
        </w:rPr>
        <w:t>Kafka Message Verification</w:t>
      </w:r>
      <w:r w:rsidRPr="009739DA">
        <w:rPr>
          <w:rFonts w:eastAsia="Times New Roman" w:cstheme="minorHAnsi"/>
          <w:lang w:val="en-GB" w:eastAsia="en-GB"/>
        </w:rPr>
        <w:t xml:space="preserve">: Kafka message counts were verified using </w:t>
      </w:r>
      <w:r w:rsidRPr="009739DA">
        <w:rPr>
          <w:rFonts w:eastAsia="Times New Roman" w:cstheme="minorHAnsi"/>
          <w:b/>
          <w:bCs/>
          <w:lang w:val="en-GB" w:eastAsia="en-GB"/>
        </w:rPr>
        <w:t>Confluent Control Center</w:t>
      </w:r>
      <w:r w:rsidRPr="009739DA">
        <w:rPr>
          <w:rFonts w:eastAsia="Times New Roman" w:cstheme="minorHAnsi"/>
          <w:lang w:val="en-GB" w:eastAsia="en-GB"/>
        </w:rPr>
        <w:t xml:space="preserve"> and a dedicated </w:t>
      </w:r>
      <w:r w:rsidRPr="009739DA">
        <w:rPr>
          <w:rFonts w:eastAsia="Times New Roman" w:cstheme="minorHAnsi"/>
          <w:b/>
          <w:bCs/>
          <w:lang w:val="en-GB" w:eastAsia="en-GB"/>
        </w:rPr>
        <w:t>Python script</w:t>
      </w:r>
      <w:r w:rsidRPr="009739DA">
        <w:rPr>
          <w:rFonts w:eastAsia="Times New Roman" w:cstheme="minorHAnsi"/>
          <w:lang w:val="en-GB" w:eastAsia="en-GB"/>
        </w:rPr>
        <w:t xml:space="preserve"> that retrieves total message counts from relevant topics.</w:t>
      </w:r>
    </w:p>
    <w:p w14:paraId="554D7D94" w14:textId="77777777" w:rsidR="009739DA" w:rsidRPr="009739DA" w:rsidRDefault="009739DA" w:rsidP="009739DA">
      <w:pPr>
        <w:numPr>
          <w:ilvl w:val="0"/>
          <w:numId w:val="14"/>
        </w:numPr>
        <w:spacing w:before="100" w:beforeAutospacing="1" w:after="100" w:afterAutospacing="1" w:line="240" w:lineRule="auto"/>
        <w:rPr>
          <w:rFonts w:eastAsia="Times New Roman" w:cstheme="minorHAnsi"/>
          <w:lang w:val="en-GB" w:eastAsia="en-GB"/>
        </w:rPr>
      </w:pPr>
      <w:r w:rsidRPr="009739DA">
        <w:rPr>
          <w:rFonts w:eastAsia="Times New Roman" w:cstheme="minorHAnsi"/>
          <w:b/>
          <w:bCs/>
          <w:lang w:val="en-GB" w:eastAsia="en-GB"/>
        </w:rPr>
        <w:t>Guidewire Event Tracking</w:t>
      </w:r>
      <w:r w:rsidRPr="009739DA">
        <w:rPr>
          <w:rFonts w:eastAsia="Times New Roman" w:cstheme="minorHAnsi"/>
          <w:lang w:val="en-GB" w:eastAsia="en-GB"/>
        </w:rPr>
        <w:t xml:space="preserve">: Integration Gateway and Guidewire PC event processing were monitored using </w:t>
      </w:r>
      <w:r w:rsidRPr="009739DA">
        <w:rPr>
          <w:rFonts w:eastAsia="Times New Roman" w:cstheme="minorHAnsi"/>
          <w:b/>
          <w:bCs/>
          <w:lang w:val="en-GB" w:eastAsia="en-GB"/>
        </w:rPr>
        <w:t>DataDog logs</w:t>
      </w:r>
      <w:r w:rsidRPr="009739DA">
        <w:rPr>
          <w:rFonts w:eastAsia="Times New Roman" w:cstheme="minorHAnsi"/>
          <w:lang w:val="en-GB" w:eastAsia="en-GB"/>
        </w:rPr>
        <w:t xml:space="preserve">. A tailored </w:t>
      </w:r>
      <w:r w:rsidRPr="009739DA">
        <w:rPr>
          <w:rFonts w:eastAsia="Times New Roman" w:cstheme="minorHAnsi"/>
          <w:b/>
          <w:bCs/>
          <w:lang w:val="en-GB" w:eastAsia="en-GB"/>
        </w:rPr>
        <w:t>dashboard</w:t>
      </w:r>
      <w:r w:rsidRPr="009739DA">
        <w:rPr>
          <w:rFonts w:eastAsia="Times New Roman" w:cstheme="minorHAnsi"/>
          <w:lang w:val="en-GB" w:eastAsia="en-GB"/>
        </w:rPr>
        <w:t xml:space="preserve"> tracks specific log patterns aligned with event IDs, enabling real-time visibility.</w:t>
      </w:r>
    </w:p>
    <w:p w14:paraId="18D7880F" w14:textId="77777777" w:rsidR="009739DA" w:rsidRPr="009739DA" w:rsidRDefault="009739DA" w:rsidP="009739DA">
      <w:pPr>
        <w:numPr>
          <w:ilvl w:val="0"/>
          <w:numId w:val="14"/>
        </w:numPr>
        <w:spacing w:before="100" w:beforeAutospacing="1" w:after="100" w:afterAutospacing="1" w:line="240" w:lineRule="auto"/>
        <w:rPr>
          <w:rFonts w:eastAsia="Times New Roman" w:cstheme="minorHAnsi"/>
          <w:lang w:val="en-GB" w:eastAsia="en-GB"/>
        </w:rPr>
      </w:pPr>
      <w:r w:rsidRPr="009739DA">
        <w:rPr>
          <w:rFonts w:eastAsia="Times New Roman" w:cstheme="minorHAnsi"/>
          <w:b/>
          <w:bCs/>
          <w:lang w:val="en-GB" w:eastAsia="en-GB"/>
        </w:rPr>
        <w:t>Exception Handling in AWS S3</w:t>
      </w:r>
      <w:r w:rsidRPr="009739DA">
        <w:rPr>
          <w:rFonts w:eastAsia="Times New Roman" w:cstheme="minorHAnsi"/>
          <w:lang w:val="en-GB" w:eastAsia="en-GB"/>
        </w:rPr>
        <w:t xml:space="preserve">: A </w:t>
      </w:r>
      <w:r w:rsidRPr="009739DA">
        <w:rPr>
          <w:rFonts w:eastAsia="Times New Roman" w:cstheme="minorHAnsi"/>
          <w:b/>
          <w:bCs/>
          <w:lang w:val="en-GB" w:eastAsia="en-GB"/>
        </w:rPr>
        <w:t>Python script</w:t>
      </w:r>
      <w:r w:rsidRPr="009739DA">
        <w:rPr>
          <w:rFonts w:eastAsia="Times New Roman" w:cstheme="minorHAnsi"/>
          <w:lang w:val="en-GB" w:eastAsia="en-GB"/>
        </w:rPr>
        <w:t xml:space="preserve"> was developed to:</w:t>
      </w:r>
    </w:p>
    <w:p w14:paraId="1F8B7381" w14:textId="77777777" w:rsidR="009739DA" w:rsidRPr="009739DA" w:rsidRDefault="009739DA" w:rsidP="009739DA">
      <w:pPr>
        <w:numPr>
          <w:ilvl w:val="1"/>
          <w:numId w:val="14"/>
        </w:numPr>
        <w:spacing w:before="100" w:beforeAutospacing="1" w:after="100" w:afterAutospacing="1" w:line="240" w:lineRule="auto"/>
        <w:rPr>
          <w:rFonts w:eastAsia="Times New Roman" w:cstheme="minorHAnsi"/>
          <w:lang w:val="en-GB" w:eastAsia="en-GB"/>
        </w:rPr>
      </w:pPr>
      <w:r w:rsidRPr="009739DA">
        <w:rPr>
          <w:rFonts w:eastAsia="Times New Roman" w:cstheme="minorHAnsi"/>
          <w:lang w:val="en-GB" w:eastAsia="en-GB"/>
        </w:rPr>
        <w:t>Count the number of failed validation events stored in the S3 bucket.</w:t>
      </w:r>
    </w:p>
    <w:p w14:paraId="43DADD5A" w14:textId="77777777" w:rsidR="009739DA" w:rsidRPr="009739DA" w:rsidRDefault="009739DA" w:rsidP="009739DA">
      <w:pPr>
        <w:numPr>
          <w:ilvl w:val="1"/>
          <w:numId w:val="14"/>
        </w:numPr>
        <w:spacing w:before="100" w:beforeAutospacing="1" w:after="100" w:afterAutospacing="1" w:line="240" w:lineRule="auto"/>
        <w:rPr>
          <w:rFonts w:eastAsia="Times New Roman" w:cstheme="minorHAnsi"/>
          <w:lang w:val="en-GB" w:eastAsia="en-GB"/>
        </w:rPr>
      </w:pPr>
      <w:r w:rsidRPr="009739DA">
        <w:rPr>
          <w:rFonts w:eastAsia="Times New Roman" w:cstheme="minorHAnsi"/>
          <w:lang w:val="en-GB" w:eastAsia="en-GB"/>
        </w:rPr>
        <w:t>Download and inspect exception messages for root cause analysis.</w:t>
      </w:r>
    </w:p>
    <w:p w14:paraId="3E6A9618" w14:textId="77777777" w:rsidR="009739DA" w:rsidRPr="009739DA" w:rsidRDefault="009739DA" w:rsidP="009739DA">
      <w:pPr>
        <w:numPr>
          <w:ilvl w:val="0"/>
          <w:numId w:val="14"/>
        </w:numPr>
        <w:spacing w:before="100" w:beforeAutospacing="1" w:after="100" w:afterAutospacing="1" w:line="240" w:lineRule="auto"/>
        <w:rPr>
          <w:rFonts w:eastAsia="Times New Roman" w:cstheme="minorHAnsi"/>
          <w:lang w:val="en-GB" w:eastAsia="en-GB"/>
        </w:rPr>
      </w:pPr>
      <w:r w:rsidRPr="009739DA">
        <w:rPr>
          <w:rFonts w:eastAsia="Times New Roman" w:cstheme="minorHAnsi"/>
          <w:b/>
          <w:bCs/>
          <w:lang w:val="en-GB" w:eastAsia="en-GB"/>
        </w:rPr>
        <w:t>Snowflake Reconciliation</w:t>
      </w:r>
      <w:r w:rsidRPr="009739DA">
        <w:rPr>
          <w:rFonts w:eastAsia="Times New Roman" w:cstheme="minorHAnsi"/>
          <w:lang w:val="en-GB" w:eastAsia="en-GB"/>
        </w:rPr>
        <w:t>: Records were verified in Snowflake using policy numbers, ensuring consistency between Kafka events and Snowflake ingestion.</w:t>
      </w:r>
    </w:p>
    <w:p w14:paraId="7E03012B" w14:textId="77777777" w:rsidR="00183B1B" w:rsidRPr="009739DA" w:rsidRDefault="45694F68" w:rsidP="6F57A276">
      <w:pPr>
        <w:rPr>
          <w:rFonts w:eastAsia="Calibri" w:cstheme="minorHAnsi"/>
        </w:rPr>
      </w:pPr>
      <w:r w:rsidRPr="009739DA">
        <w:rPr>
          <w:rFonts w:eastAsia="Calibri" w:cstheme="minorHAnsi"/>
        </w:rPr>
        <w:t xml:space="preserve"> </w:t>
      </w:r>
    </w:p>
    <w:p w14:paraId="32626280" w14:textId="77777777" w:rsidR="00A4537D" w:rsidRPr="00A4537D" w:rsidRDefault="00A4537D" w:rsidP="00A4537D">
      <w:pPr>
        <w:rPr>
          <w:rFonts w:eastAsia="Calibri" w:cstheme="minorHAnsi"/>
          <w:lang w:val="en-GB"/>
        </w:rPr>
      </w:pPr>
      <w:r w:rsidRPr="00A4537D">
        <w:rPr>
          <w:rFonts w:eastAsia="Calibri" w:cstheme="minorHAnsi"/>
          <w:lang w:val="en-GB"/>
        </w:rPr>
        <w:t xml:space="preserve">The testing strategy has primarily followed a </w:t>
      </w:r>
      <w:r w:rsidRPr="00A4537D">
        <w:rPr>
          <w:rFonts w:eastAsia="Calibri" w:cstheme="minorHAnsi"/>
          <w:b/>
          <w:bCs/>
          <w:lang w:val="en-GB"/>
        </w:rPr>
        <w:t>risk-based approach</w:t>
      </w:r>
      <w:r w:rsidRPr="00A4537D">
        <w:rPr>
          <w:rFonts w:eastAsia="Calibri" w:cstheme="minorHAnsi"/>
          <w:lang w:val="en-GB"/>
        </w:rPr>
        <w:t xml:space="preserve">, involving </w:t>
      </w:r>
      <w:r w:rsidRPr="00A4537D">
        <w:rPr>
          <w:rFonts w:eastAsia="Calibri" w:cstheme="minorHAnsi"/>
          <w:b/>
          <w:bCs/>
          <w:lang w:val="en-GB"/>
        </w:rPr>
        <w:t>multiple vendors</w:t>
      </w:r>
      <w:r w:rsidRPr="00A4537D">
        <w:rPr>
          <w:rFonts w:eastAsia="Calibri" w:cstheme="minorHAnsi"/>
          <w:lang w:val="en-GB"/>
        </w:rPr>
        <w:t xml:space="preserve"> collaborating across different levels and geographies. While risk-based testing has been the foundation, </w:t>
      </w:r>
      <w:r w:rsidRPr="00A4537D">
        <w:rPr>
          <w:rFonts w:eastAsia="Calibri" w:cstheme="minorHAnsi"/>
          <w:b/>
          <w:bCs/>
          <w:lang w:val="en-GB"/>
        </w:rPr>
        <w:t>Capgemini</w:t>
      </w:r>
      <w:r w:rsidRPr="00A4537D">
        <w:rPr>
          <w:rFonts w:eastAsia="Calibri" w:cstheme="minorHAnsi"/>
          <w:lang w:val="en-GB"/>
        </w:rPr>
        <w:t xml:space="preserve"> has enhanced coverage by incorporating </w:t>
      </w:r>
      <w:r w:rsidRPr="00A4537D">
        <w:rPr>
          <w:rFonts w:eastAsia="Calibri" w:cstheme="minorHAnsi"/>
          <w:b/>
          <w:bCs/>
          <w:lang w:val="en-GB"/>
        </w:rPr>
        <w:t>API testing</w:t>
      </w:r>
      <w:r w:rsidRPr="00A4537D">
        <w:rPr>
          <w:rFonts w:eastAsia="Calibri" w:cstheme="minorHAnsi"/>
          <w:lang w:val="en-GB"/>
        </w:rPr>
        <w:t xml:space="preserve"> and </w:t>
      </w:r>
      <w:r w:rsidRPr="00A4537D">
        <w:rPr>
          <w:rFonts w:eastAsia="Calibri" w:cstheme="minorHAnsi"/>
          <w:b/>
          <w:bCs/>
          <w:lang w:val="en-GB"/>
        </w:rPr>
        <w:t>template-based testing</w:t>
      </w:r>
      <w:r w:rsidRPr="00A4537D">
        <w:rPr>
          <w:rFonts w:eastAsia="Calibri" w:cstheme="minorHAnsi"/>
          <w:lang w:val="en-GB"/>
        </w:rPr>
        <w:t>.</w:t>
      </w:r>
    </w:p>
    <w:p w14:paraId="03699B00" w14:textId="77777777" w:rsidR="00A4537D" w:rsidRPr="00A4537D" w:rsidRDefault="00A4537D" w:rsidP="00A4537D">
      <w:pPr>
        <w:rPr>
          <w:rFonts w:eastAsia="Calibri" w:cstheme="minorHAnsi"/>
          <w:lang w:val="en-GB"/>
        </w:rPr>
      </w:pPr>
      <w:r w:rsidRPr="00A4537D">
        <w:rPr>
          <w:rFonts w:eastAsia="Calibri" w:cstheme="minorHAnsi"/>
          <w:lang w:val="en-GB"/>
        </w:rPr>
        <w:t xml:space="preserve">To automate critical user journeys, </w:t>
      </w:r>
      <w:r w:rsidRPr="00A4537D">
        <w:rPr>
          <w:rFonts w:eastAsia="Calibri" w:cstheme="minorHAnsi"/>
          <w:b/>
          <w:bCs/>
          <w:lang w:val="en-GB"/>
        </w:rPr>
        <w:t>Playwright</w:t>
      </w:r>
      <w:r w:rsidRPr="00A4537D">
        <w:rPr>
          <w:rFonts w:eastAsia="Calibri" w:cstheme="minorHAnsi"/>
          <w:lang w:val="en-GB"/>
        </w:rPr>
        <w:t xml:space="preserve"> has been employed effectively. However, to validate the broader spectrum of permutations and combinations, </w:t>
      </w:r>
      <w:r w:rsidRPr="00A4537D">
        <w:rPr>
          <w:rFonts w:eastAsia="Calibri" w:cstheme="minorHAnsi"/>
          <w:b/>
          <w:bCs/>
          <w:lang w:val="en-GB"/>
        </w:rPr>
        <w:t>Guidewire APIs</w:t>
      </w:r>
      <w:r w:rsidRPr="00A4537D">
        <w:rPr>
          <w:rFonts w:eastAsia="Calibri" w:cstheme="minorHAnsi"/>
          <w:lang w:val="en-GB"/>
        </w:rPr>
        <w:t xml:space="preserve"> have been extensively utilized, ensuring comprehensive functional coverage and robustness.</w:t>
      </w:r>
    </w:p>
    <w:p w14:paraId="21FADBAE" w14:textId="77777777" w:rsidR="00880EF4" w:rsidRPr="009739DA" w:rsidRDefault="00880EF4" w:rsidP="6F57A276">
      <w:pPr>
        <w:rPr>
          <w:rFonts w:eastAsia="Calibri" w:cstheme="minorHAnsi"/>
        </w:rPr>
      </w:pPr>
    </w:p>
    <w:p w14:paraId="25776452" w14:textId="336A68AF" w:rsidR="45694F68" w:rsidRPr="009739DA" w:rsidRDefault="45694F68" w:rsidP="6F57A276">
      <w:pPr>
        <w:rPr>
          <w:rFonts w:cstheme="minorHAnsi"/>
        </w:rPr>
      </w:pPr>
    </w:p>
    <w:p w14:paraId="74CAD360" w14:textId="66768F12" w:rsidR="0D2B41CF" w:rsidRPr="009739DA" w:rsidRDefault="0D2B41CF" w:rsidP="6F57A276">
      <w:pPr>
        <w:spacing w:after="220"/>
        <w:rPr>
          <w:rFonts w:cstheme="minorHAnsi"/>
        </w:rPr>
      </w:pPr>
      <w:r w:rsidRPr="009739DA">
        <w:rPr>
          <w:rFonts w:eastAsia="Calibri" w:cstheme="minorHAnsi"/>
          <w:b/>
          <w:bCs/>
          <w:sz w:val="28"/>
          <w:szCs w:val="28"/>
        </w:rPr>
        <w:t>TBD</w:t>
      </w:r>
    </w:p>
    <w:p w14:paraId="7DFF5D36" w14:textId="1BA31A85" w:rsidR="45694F68" w:rsidRPr="009739DA" w:rsidRDefault="45694F68" w:rsidP="6F57A276">
      <w:pPr>
        <w:spacing w:after="220"/>
        <w:rPr>
          <w:rFonts w:cstheme="minorHAnsi"/>
        </w:rPr>
      </w:pPr>
      <w:r w:rsidRPr="009739DA">
        <w:rPr>
          <w:rFonts w:eastAsia="Calibri" w:cstheme="minorHAnsi"/>
          <w:b/>
          <w:bCs/>
          <w:sz w:val="28"/>
          <w:szCs w:val="28"/>
          <w:highlight w:val="yellow"/>
        </w:rPr>
        <w:t>Project Target / Achievements</w:t>
      </w:r>
    </w:p>
    <w:p w14:paraId="29906278" w14:textId="7F280C7F" w:rsidR="35412C1C" w:rsidRPr="009739DA" w:rsidRDefault="35412C1C" w:rsidP="6F57A276">
      <w:pPr>
        <w:spacing w:after="120" w:line="257" w:lineRule="auto"/>
        <w:rPr>
          <w:rFonts w:cstheme="minorHAnsi"/>
        </w:rPr>
      </w:pPr>
      <w:r w:rsidRPr="009739DA">
        <w:rPr>
          <w:rFonts w:eastAsia="Calibri" w:cstheme="minorHAnsi"/>
          <w:b/>
          <w:bCs/>
          <w:sz w:val="28"/>
          <w:szCs w:val="28"/>
        </w:rPr>
        <w:t>TBD</w:t>
      </w:r>
    </w:p>
    <w:p w14:paraId="3C34A282" w14:textId="05233A1E" w:rsidR="45694F68" w:rsidRPr="009739DA" w:rsidRDefault="45694F68" w:rsidP="6F57A276">
      <w:pPr>
        <w:spacing w:after="220"/>
        <w:rPr>
          <w:rFonts w:cstheme="minorHAnsi"/>
        </w:rPr>
      </w:pPr>
      <w:r w:rsidRPr="009739DA">
        <w:rPr>
          <w:rFonts w:eastAsia="Calibri" w:cstheme="minorHAnsi"/>
        </w:rPr>
        <w:t xml:space="preserve"> </w:t>
      </w:r>
    </w:p>
    <w:p w14:paraId="076D5D6B" w14:textId="0974509F" w:rsidR="45694F68" w:rsidRPr="009739DA" w:rsidRDefault="45694F68" w:rsidP="6F57A276">
      <w:pPr>
        <w:spacing w:after="220"/>
        <w:rPr>
          <w:rFonts w:cstheme="minorHAnsi"/>
        </w:rPr>
      </w:pPr>
      <w:r w:rsidRPr="009739DA">
        <w:rPr>
          <w:rFonts w:eastAsia="Calibri" w:cstheme="minorHAnsi"/>
          <w:b/>
          <w:bCs/>
          <w:sz w:val="28"/>
          <w:szCs w:val="28"/>
          <w:highlight w:val="yellow"/>
        </w:rPr>
        <w:t>What does the future hold?</w:t>
      </w:r>
    </w:p>
    <w:p w14:paraId="2C078E63" w14:textId="2D8C800B" w:rsidR="00CC5D2A" w:rsidRPr="009739DA" w:rsidRDefault="50E8B436" w:rsidP="11EF68CA">
      <w:pPr>
        <w:rPr>
          <w:rFonts w:cstheme="minorHAnsi"/>
        </w:rPr>
      </w:pPr>
      <w:r w:rsidRPr="009739DA">
        <w:rPr>
          <w:rFonts w:eastAsia="Calibri" w:cstheme="minorHAnsi"/>
        </w:rPr>
        <w:t>TBD</w:t>
      </w:r>
    </w:p>
    <w:sectPr w:rsidR="00CC5D2A" w:rsidRPr="00973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7032"/>
    <w:multiLevelType w:val="multilevel"/>
    <w:tmpl w:val="DFE01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12B75"/>
    <w:multiLevelType w:val="hybridMultilevel"/>
    <w:tmpl w:val="9B2C8CEA"/>
    <w:lvl w:ilvl="0" w:tplc="8BBC36BA">
      <w:start w:val="5"/>
      <w:numFmt w:val="decimal"/>
      <w:lvlText w:val="%1."/>
      <w:lvlJc w:val="left"/>
      <w:pPr>
        <w:ind w:left="720" w:hanging="360"/>
      </w:pPr>
    </w:lvl>
    <w:lvl w:ilvl="1" w:tplc="DD04A762">
      <w:start w:val="1"/>
      <w:numFmt w:val="lowerLetter"/>
      <w:lvlText w:val="%2."/>
      <w:lvlJc w:val="left"/>
      <w:pPr>
        <w:ind w:left="1440" w:hanging="360"/>
      </w:pPr>
    </w:lvl>
    <w:lvl w:ilvl="2" w:tplc="0832C4D2">
      <w:start w:val="1"/>
      <w:numFmt w:val="lowerRoman"/>
      <w:lvlText w:val="%3."/>
      <w:lvlJc w:val="right"/>
      <w:pPr>
        <w:ind w:left="2160" w:hanging="180"/>
      </w:pPr>
    </w:lvl>
    <w:lvl w:ilvl="3" w:tplc="4A1EE4B0">
      <w:start w:val="1"/>
      <w:numFmt w:val="decimal"/>
      <w:lvlText w:val="%4."/>
      <w:lvlJc w:val="left"/>
      <w:pPr>
        <w:ind w:left="2880" w:hanging="360"/>
      </w:pPr>
    </w:lvl>
    <w:lvl w:ilvl="4" w:tplc="CFB607B0">
      <w:start w:val="1"/>
      <w:numFmt w:val="lowerLetter"/>
      <w:lvlText w:val="%5."/>
      <w:lvlJc w:val="left"/>
      <w:pPr>
        <w:ind w:left="3600" w:hanging="360"/>
      </w:pPr>
    </w:lvl>
    <w:lvl w:ilvl="5" w:tplc="5C1AC9C4">
      <w:start w:val="1"/>
      <w:numFmt w:val="lowerRoman"/>
      <w:lvlText w:val="%6."/>
      <w:lvlJc w:val="right"/>
      <w:pPr>
        <w:ind w:left="4320" w:hanging="180"/>
      </w:pPr>
    </w:lvl>
    <w:lvl w:ilvl="6" w:tplc="E4FE5F24">
      <w:start w:val="1"/>
      <w:numFmt w:val="decimal"/>
      <w:lvlText w:val="%7."/>
      <w:lvlJc w:val="left"/>
      <w:pPr>
        <w:ind w:left="5040" w:hanging="360"/>
      </w:pPr>
    </w:lvl>
    <w:lvl w:ilvl="7" w:tplc="5204BEDA">
      <w:start w:val="1"/>
      <w:numFmt w:val="lowerLetter"/>
      <w:lvlText w:val="%8."/>
      <w:lvlJc w:val="left"/>
      <w:pPr>
        <w:ind w:left="5760" w:hanging="360"/>
      </w:pPr>
    </w:lvl>
    <w:lvl w:ilvl="8" w:tplc="5DD04AE4">
      <w:start w:val="1"/>
      <w:numFmt w:val="lowerRoman"/>
      <w:lvlText w:val="%9."/>
      <w:lvlJc w:val="right"/>
      <w:pPr>
        <w:ind w:left="6480" w:hanging="180"/>
      </w:pPr>
    </w:lvl>
  </w:abstractNum>
  <w:abstractNum w:abstractNumId="2" w15:restartNumberingAfterBreak="0">
    <w:nsid w:val="0BED7E7D"/>
    <w:multiLevelType w:val="hybridMultilevel"/>
    <w:tmpl w:val="C05AD72C"/>
    <w:lvl w:ilvl="0" w:tplc="741E3106">
      <w:start w:val="1"/>
      <w:numFmt w:val="decimal"/>
      <w:lvlText w:val="%1."/>
      <w:lvlJc w:val="left"/>
      <w:pPr>
        <w:ind w:left="720" w:hanging="360"/>
      </w:pPr>
    </w:lvl>
    <w:lvl w:ilvl="1" w:tplc="1E9A5FEC">
      <w:start w:val="1"/>
      <w:numFmt w:val="lowerLetter"/>
      <w:lvlText w:val="%2."/>
      <w:lvlJc w:val="left"/>
      <w:pPr>
        <w:ind w:left="1440" w:hanging="360"/>
      </w:pPr>
    </w:lvl>
    <w:lvl w:ilvl="2" w:tplc="762C1144">
      <w:start w:val="1"/>
      <w:numFmt w:val="lowerRoman"/>
      <w:lvlText w:val="%3."/>
      <w:lvlJc w:val="right"/>
      <w:pPr>
        <w:ind w:left="2160" w:hanging="180"/>
      </w:pPr>
    </w:lvl>
    <w:lvl w:ilvl="3" w:tplc="B1CA1ACC">
      <w:start w:val="1"/>
      <w:numFmt w:val="decimal"/>
      <w:lvlText w:val="%4."/>
      <w:lvlJc w:val="left"/>
      <w:pPr>
        <w:ind w:left="2880" w:hanging="360"/>
      </w:pPr>
    </w:lvl>
    <w:lvl w:ilvl="4" w:tplc="61CE95DE">
      <w:start w:val="1"/>
      <w:numFmt w:val="lowerLetter"/>
      <w:lvlText w:val="%5."/>
      <w:lvlJc w:val="left"/>
      <w:pPr>
        <w:ind w:left="3600" w:hanging="360"/>
      </w:pPr>
    </w:lvl>
    <w:lvl w:ilvl="5" w:tplc="CAF6C3D4">
      <w:start w:val="1"/>
      <w:numFmt w:val="lowerRoman"/>
      <w:lvlText w:val="%6."/>
      <w:lvlJc w:val="right"/>
      <w:pPr>
        <w:ind w:left="4320" w:hanging="180"/>
      </w:pPr>
    </w:lvl>
    <w:lvl w:ilvl="6" w:tplc="34BA193E">
      <w:start w:val="1"/>
      <w:numFmt w:val="decimal"/>
      <w:lvlText w:val="%7."/>
      <w:lvlJc w:val="left"/>
      <w:pPr>
        <w:ind w:left="5040" w:hanging="360"/>
      </w:pPr>
    </w:lvl>
    <w:lvl w:ilvl="7" w:tplc="D04A2D3C">
      <w:start w:val="1"/>
      <w:numFmt w:val="lowerLetter"/>
      <w:lvlText w:val="%8."/>
      <w:lvlJc w:val="left"/>
      <w:pPr>
        <w:ind w:left="5760" w:hanging="360"/>
      </w:pPr>
    </w:lvl>
    <w:lvl w:ilvl="8" w:tplc="AE2C390E">
      <w:start w:val="1"/>
      <w:numFmt w:val="lowerRoman"/>
      <w:lvlText w:val="%9."/>
      <w:lvlJc w:val="right"/>
      <w:pPr>
        <w:ind w:left="6480" w:hanging="180"/>
      </w:pPr>
    </w:lvl>
  </w:abstractNum>
  <w:abstractNum w:abstractNumId="3" w15:restartNumberingAfterBreak="0">
    <w:nsid w:val="217B246A"/>
    <w:multiLevelType w:val="multilevel"/>
    <w:tmpl w:val="6FF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11836"/>
    <w:multiLevelType w:val="hybridMultilevel"/>
    <w:tmpl w:val="4FBA242A"/>
    <w:lvl w:ilvl="0" w:tplc="E558DE98">
      <w:start w:val="2"/>
      <w:numFmt w:val="decimal"/>
      <w:lvlText w:val="%1."/>
      <w:lvlJc w:val="left"/>
      <w:pPr>
        <w:ind w:left="720" w:hanging="360"/>
      </w:pPr>
    </w:lvl>
    <w:lvl w:ilvl="1" w:tplc="FAAE745C">
      <w:start w:val="1"/>
      <w:numFmt w:val="lowerLetter"/>
      <w:lvlText w:val="%2."/>
      <w:lvlJc w:val="left"/>
      <w:pPr>
        <w:ind w:left="1440" w:hanging="360"/>
      </w:pPr>
    </w:lvl>
    <w:lvl w:ilvl="2" w:tplc="72907C90">
      <w:start w:val="1"/>
      <w:numFmt w:val="lowerRoman"/>
      <w:lvlText w:val="%3."/>
      <w:lvlJc w:val="right"/>
      <w:pPr>
        <w:ind w:left="2160" w:hanging="180"/>
      </w:pPr>
    </w:lvl>
    <w:lvl w:ilvl="3" w:tplc="0414B466">
      <w:start w:val="1"/>
      <w:numFmt w:val="decimal"/>
      <w:lvlText w:val="%4."/>
      <w:lvlJc w:val="left"/>
      <w:pPr>
        <w:ind w:left="2880" w:hanging="360"/>
      </w:pPr>
    </w:lvl>
    <w:lvl w:ilvl="4" w:tplc="3D122D3E">
      <w:start w:val="1"/>
      <w:numFmt w:val="lowerLetter"/>
      <w:lvlText w:val="%5."/>
      <w:lvlJc w:val="left"/>
      <w:pPr>
        <w:ind w:left="3600" w:hanging="360"/>
      </w:pPr>
    </w:lvl>
    <w:lvl w:ilvl="5" w:tplc="07C8FD7E">
      <w:start w:val="1"/>
      <w:numFmt w:val="lowerRoman"/>
      <w:lvlText w:val="%6."/>
      <w:lvlJc w:val="right"/>
      <w:pPr>
        <w:ind w:left="4320" w:hanging="180"/>
      </w:pPr>
    </w:lvl>
    <w:lvl w:ilvl="6" w:tplc="89B699D6">
      <w:start w:val="1"/>
      <w:numFmt w:val="decimal"/>
      <w:lvlText w:val="%7."/>
      <w:lvlJc w:val="left"/>
      <w:pPr>
        <w:ind w:left="5040" w:hanging="360"/>
      </w:pPr>
    </w:lvl>
    <w:lvl w:ilvl="7" w:tplc="4B14A7A0">
      <w:start w:val="1"/>
      <w:numFmt w:val="lowerLetter"/>
      <w:lvlText w:val="%8."/>
      <w:lvlJc w:val="left"/>
      <w:pPr>
        <w:ind w:left="5760" w:hanging="360"/>
      </w:pPr>
    </w:lvl>
    <w:lvl w:ilvl="8" w:tplc="17E61B46">
      <w:start w:val="1"/>
      <w:numFmt w:val="lowerRoman"/>
      <w:lvlText w:val="%9."/>
      <w:lvlJc w:val="right"/>
      <w:pPr>
        <w:ind w:left="6480" w:hanging="180"/>
      </w:pPr>
    </w:lvl>
  </w:abstractNum>
  <w:abstractNum w:abstractNumId="5" w15:restartNumberingAfterBreak="0">
    <w:nsid w:val="2FD74E0C"/>
    <w:multiLevelType w:val="hybridMultilevel"/>
    <w:tmpl w:val="EE7EE042"/>
    <w:lvl w:ilvl="0" w:tplc="F9E45200">
      <w:start w:val="7"/>
      <w:numFmt w:val="decimal"/>
      <w:lvlText w:val="%1."/>
      <w:lvlJc w:val="left"/>
      <w:pPr>
        <w:ind w:left="720" w:hanging="360"/>
      </w:pPr>
    </w:lvl>
    <w:lvl w:ilvl="1" w:tplc="296EC910">
      <w:start w:val="1"/>
      <w:numFmt w:val="lowerLetter"/>
      <w:lvlText w:val="%2."/>
      <w:lvlJc w:val="left"/>
      <w:pPr>
        <w:ind w:left="1440" w:hanging="360"/>
      </w:pPr>
    </w:lvl>
    <w:lvl w:ilvl="2" w:tplc="EB8A9E72">
      <w:start w:val="1"/>
      <w:numFmt w:val="lowerRoman"/>
      <w:lvlText w:val="%3."/>
      <w:lvlJc w:val="right"/>
      <w:pPr>
        <w:ind w:left="2160" w:hanging="180"/>
      </w:pPr>
    </w:lvl>
    <w:lvl w:ilvl="3" w:tplc="2C8C3E36">
      <w:start w:val="1"/>
      <w:numFmt w:val="decimal"/>
      <w:lvlText w:val="%4."/>
      <w:lvlJc w:val="left"/>
      <w:pPr>
        <w:ind w:left="2880" w:hanging="360"/>
      </w:pPr>
    </w:lvl>
    <w:lvl w:ilvl="4" w:tplc="0D4C74D8">
      <w:start w:val="1"/>
      <w:numFmt w:val="lowerLetter"/>
      <w:lvlText w:val="%5."/>
      <w:lvlJc w:val="left"/>
      <w:pPr>
        <w:ind w:left="3600" w:hanging="360"/>
      </w:pPr>
    </w:lvl>
    <w:lvl w:ilvl="5" w:tplc="DFA69E84">
      <w:start w:val="1"/>
      <w:numFmt w:val="lowerRoman"/>
      <w:lvlText w:val="%6."/>
      <w:lvlJc w:val="right"/>
      <w:pPr>
        <w:ind w:left="4320" w:hanging="180"/>
      </w:pPr>
    </w:lvl>
    <w:lvl w:ilvl="6" w:tplc="BF54B042">
      <w:start w:val="1"/>
      <w:numFmt w:val="decimal"/>
      <w:lvlText w:val="%7."/>
      <w:lvlJc w:val="left"/>
      <w:pPr>
        <w:ind w:left="5040" w:hanging="360"/>
      </w:pPr>
    </w:lvl>
    <w:lvl w:ilvl="7" w:tplc="76AE7850">
      <w:start w:val="1"/>
      <w:numFmt w:val="lowerLetter"/>
      <w:lvlText w:val="%8."/>
      <w:lvlJc w:val="left"/>
      <w:pPr>
        <w:ind w:left="5760" w:hanging="360"/>
      </w:pPr>
    </w:lvl>
    <w:lvl w:ilvl="8" w:tplc="1654FE96">
      <w:start w:val="1"/>
      <w:numFmt w:val="lowerRoman"/>
      <w:lvlText w:val="%9."/>
      <w:lvlJc w:val="right"/>
      <w:pPr>
        <w:ind w:left="6480" w:hanging="180"/>
      </w:pPr>
    </w:lvl>
  </w:abstractNum>
  <w:abstractNum w:abstractNumId="6" w15:restartNumberingAfterBreak="0">
    <w:nsid w:val="475A7B1C"/>
    <w:multiLevelType w:val="multilevel"/>
    <w:tmpl w:val="4BD48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4BF7E"/>
    <w:multiLevelType w:val="hybridMultilevel"/>
    <w:tmpl w:val="EEB89294"/>
    <w:lvl w:ilvl="0" w:tplc="9ABA5A12">
      <w:start w:val="3"/>
      <w:numFmt w:val="decimal"/>
      <w:lvlText w:val="%1."/>
      <w:lvlJc w:val="left"/>
      <w:pPr>
        <w:ind w:left="720" w:hanging="360"/>
      </w:pPr>
    </w:lvl>
    <w:lvl w:ilvl="1" w:tplc="DB643154">
      <w:start w:val="1"/>
      <w:numFmt w:val="lowerLetter"/>
      <w:lvlText w:val="%2."/>
      <w:lvlJc w:val="left"/>
      <w:pPr>
        <w:ind w:left="1440" w:hanging="360"/>
      </w:pPr>
    </w:lvl>
    <w:lvl w:ilvl="2" w:tplc="C388D730">
      <w:start w:val="1"/>
      <w:numFmt w:val="lowerRoman"/>
      <w:lvlText w:val="%3."/>
      <w:lvlJc w:val="right"/>
      <w:pPr>
        <w:ind w:left="2160" w:hanging="180"/>
      </w:pPr>
    </w:lvl>
    <w:lvl w:ilvl="3" w:tplc="E5BCFE6A">
      <w:start w:val="1"/>
      <w:numFmt w:val="decimal"/>
      <w:lvlText w:val="%4."/>
      <w:lvlJc w:val="left"/>
      <w:pPr>
        <w:ind w:left="2880" w:hanging="360"/>
      </w:pPr>
    </w:lvl>
    <w:lvl w:ilvl="4" w:tplc="F782F1C8">
      <w:start w:val="1"/>
      <w:numFmt w:val="lowerLetter"/>
      <w:lvlText w:val="%5."/>
      <w:lvlJc w:val="left"/>
      <w:pPr>
        <w:ind w:left="3600" w:hanging="360"/>
      </w:pPr>
    </w:lvl>
    <w:lvl w:ilvl="5" w:tplc="4E06C842">
      <w:start w:val="1"/>
      <w:numFmt w:val="lowerRoman"/>
      <w:lvlText w:val="%6."/>
      <w:lvlJc w:val="right"/>
      <w:pPr>
        <w:ind w:left="4320" w:hanging="180"/>
      </w:pPr>
    </w:lvl>
    <w:lvl w:ilvl="6" w:tplc="293C62D6">
      <w:start w:val="1"/>
      <w:numFmt w:val="decimal"/>
      <w:lvlText w:val="%7."/>
      <w:lvlJc w:val="left"/>
      <w:pPr>
        <w:ind w:left="5040" w:hanging="360"/>
      </w:pPr>
    </w:lvl>
    <w:lvl w:ilvl="7" w:tplc="1DDE25BA">
      <w:start w:val="1"/>
      <w:numFmt w:val="lowerLetter"/>
      <w:lvlText w:val="%8."/>
      <w:lvlJc w:val="left"/>
      <w:pPr>
        <w:ind w:left="5760" w:hanging="360"/>
      </w:pPr>
    </w:lvl>
    <w:lvl w:ilvl="8" w:tplc="B8A6324C">
      <w:start w:val="1"/>
      <w:numFmt w:val="lowerRoman"/>
      <w:lvlText w:val="%9."/>
      <w:lvlJc w:val="right"/>
      <w:pPr>
        <w:ind w:left="6480" w:hanging="180"/>
      </w:pPr>
    </w:lvl>
  </w:abstractNum>
  <w:abstractNum w:abstractNumId="8" w15:restartNumberingAfterBreak="0">
    <w:nsid w:val="55607A2C"/>
    <w:multiLevelType w:val="multilevel"/>
    <w:tmpl w:val="7798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5E7664"/>
    <w:multiLevelType w:val="hybridMultilevel"/>
    <w:tmpl w:val="04E87C9A"/>
    <w:lvl w:ilvl="0" w:tplc="BDE6D0A4">
      <w:start w:val="4"/>
      <w:numFmt w:val="decimal"/>
      <w:lvlText w:val="%1."/>
      <w:lvlJc w:val="left"/>
      <w:pPr>
        <w:ind w:left="720" w:hanging="360"/>
      </w:pPr>
    </w:lvl>
    <w:lvl w:ilvl="1" w:tplc="AA72624A">
      <w:start w:val="1"/>
      <w:numFmt w:val="lowerLetter"/>
      <w:lvlText w:val="%2."/>
      <w:lvlJc w:val="left"/>
      <w:pPr>
        <w:ind w:left="1440" w:hanging="360"/>
      </w:pPr>
    </w:lvl>
    <w:lvl w:ilvl="2" w:tplc="3306E690">
      <w:start w:val="1"/>
      <w:numFmt w:val="lowerRoman"/>
      <w:lvlText w:val="%3."/>
      <w:lvlJc w:val="right"/>
      <w:pPr>
        <w:ind w:left="2160" w:hanging="180"/>
      </w:pPr>
    </w:lvl>
    <w:lvl w:ilvl="3" w:tplc="C0E24696">
      <w:start w:val="1"/>
      <w:numFmt w:val="decimal"/>
      <w:lvlText w:val="%4."/>
      <w:lvlJc w:val="left"/>
      <w:pPr>
        <w:ind w:left="2880" w:hanging="360"/>
      </w:pPr>
    </w:lvl>
    <w:lvl w:ilvl="4" w:tplc="7744071E">
      <w:start w:val="1"/>
      <w:numFmt w:val="lowerLetter"/>
      <w:lvlText w:val="%5."/>
      <w:lvlJc w:val="left"/>
      <w:pPr>
        <w:ind w:left="3600" w:hanging="360"/>
      </w:pPr>
    </w:lvl>
    <w:lvl w:ilvl="5" w:tplc="85F46ABE">
      <w:start w:val="1"/>
      <w:numFmt w:val="lowerRoman"/>
      <w:lvlText w:val="%6."/>
      <w:lvlJc w:val="right"/>
      <w:pPr>
        <w:ind w:left="4320" w:hanging="180"/>
      </w:pPr>
    </w:lvl>
    <w:lvl w:ilvl="6" w:tplc="5BFA1608">
      <w:start w:val="1"/>
      <w:numFmt w:val="decimal"/>
      <w:lvlText w:val="%7."/>
      <w:lvlJc w:val="left"/>
      <w:pPr>
        <w:ind w:left="5040" w:hanging="360"/>
      </w:pPr>
    </w:lvl>
    <w:lvl w:ilvl="7" w:tplc="9710CF46">
      <w:start w:val="1"/>
      <w:numFmt w:val="lowerLetter"/>
      <w:lvlText w:val="%8."/>
      <w:lvlJc w:val="left"/>
      <w:pPr>
        <w:ind w:left="5760" w:hanging="360"/>
      </w:pPr>
    </w:lvl>
    <w:lvl w:ilvl="8" w:tplc="2BCCB794">
      <w:start w:val="1"/>
      <w:numFmt w:val="lowerRoman"/>
      <w:lvlText w:val="%9."/>
      <w:lvlJc w:val="right"/>
      <w:pPr>
        <w:ind w:left="6480" w:hanging="180"/>
      </w:pPr>
    </w:lvl>
  </w:abstractNum>
  <w:abstractNum w:abstractNumId="10" w15:restartNumberingAfterBreak="0">
    <w:nsid w:val="5DEF5675"/>
    <w:multiLevelType w:val="multilevel"/>
    <w:tmpl w:val="0FF0E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A1A9A"/>
    <w:multiLevelType w:val="hybridMultilevel"/>
    <w:tmpl w:val="8F80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D2917B"/>
    <w:multiLevelType w:val="hybridMultilevel"/>
    <w:tmpl w:val="D46A6762"/>
    <w:lvl w:ilvl="0" w:tplc="95E05FD0">
      <w:start w:val="1"/>
      <w:numFmt w:val="decimal"/>
      <w:lvlText w:val="%1."/>
      <w:lvlJc w:val="left"/>
      <w:pPr>
        <w:ind w:left="720" w:hanging="360"/>
      </w:pPr>
    </w:lvl>
    <w:lvl w:ilvl="1" w:tplc="11FC6152">
      <w:start w:val="1"/>
      <w:numFmt w:val="lowerLetter"/>
      <w:lvlText w:val="%2."/>
      <w:lvlJc w:val="left"/>
      <w:pPr>
        <w:ind w:left="1440" w:hanging="360"/>
      </w:pPr>
    </w:lvl>
    <w:lvl w:ilvl="2" w:tplc="1694A4A4">
      <w:start w:val="1"/>
      <w:numFmt w:val="lowerRoman"/>
      <w:lvlText w:val="%3."/>
      <w:lvlJc w:val="right"/>
      <w:pPr>
        <w:ind w:left="2160" w:hanging="180"/>
      </w:pPr>
    </w:lvl>
    <w:lvl w:ilvl="3" w:tplc="9BC69B34">
      <w:start w:val="1"/>
      <w:numFmt w:val="decimal"/>
      <w:lvlText w:val="%4."/>
      <w:lvlJc w:val="left"/>
      <w:pPr>
        <w:ind w:left="2880" w:hanging="360"/>
      </w:pPr>
    </w:lvl>
    <w:lvl w:ilvl="4" w:tplc="942A82F4">
      <w:start w:val="1"/>
      <w:numFmt w:val="lowerLetter"/>
      <w:lvlText w:val="%5."/>
      <w:lvlJc w:val="left"/>
      <w:pPr>
        <w:ind w:left="3600" w:hanging="360"/>
      </w:pPr>
    </w:lvl>
    <w:lvl w:ilvl="5" w:tplc="3F6CA4D4">
      <w:start w:val="1"/>
      <w:numFmt w:val="lowerRoman"/>
      <w:lvlText w:val="%6."/>
      <w:lvlJc w:val="right"/>
      <w:pPr>
        <w:ind w:left="4320" w:hanging="180"/>
      </w:pPr>
    </w:lvl>
    <w:lvl w:ilvl="6" w:tplc="EEC003D6">
      <w:start w:val="1"/>
      <w:numFmt w:val="decimal"/>
      <w:lvlText w:val="%7."/>
      <w:lvlJc w:val="left"/>
      <w:pPr>
        <w:ind w:left="5040" w:hanging="360"/>
      </w:pPr>
    </w:lvl>
    <w:lvl w:ilvl="7" w:tplc="88AA6292">
      <w:start w:val="1"/>
      <w:numFmt w:val="lowerLetter"/>
      <w:lvlText w:val="%8."/>
      <w:lvlJc w:val="left"/>
      <w:pPr>
        <w:ind w:left="5760" w:hanging="360"/>
      </w:pPr>
    </w:lvl>
    <w:lvl w:ilvl="8" w:tplc="D2106406">
      <w:start w:val="1"/>
      <w:numFmt w:val="lowerRoman"/>
      <w:lvlText w:val="%9."/>
      <w:lvlJc w:val="right"/>
      <w:pPr>
        <w:ind w:left="6480" w:hanging="180"/>
      </w:pPr>
    </w:lvl>
  </w:abstractNum>
  <w:abstractNum w:abstractNumId="13" w15:restartNumberingAfterBreak="0">
    <w:nsid w:val="734A1E95"/>
    <w:multiLevelType w:val="multilevel"/>
    <w:tmpl w:val="F09A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E401F"/>
    <w:multiLevelType w:val="hybridMultilevel"/>
    <w:tmpl w:val="87068F94"/>
    <w:lvl w:ilvl="0" w:tplc="A8E00786">
      <w:start w:val="6"/>
      <w:numFmt w:val="decimal"/>
      <w:lvlText w:val="%1."/>
      <w:lvlJc w:val="left"/>
      <w:pPr>
        <w:ind w:left="720" w:hanging="360"/>
      </w:pPr>
    </w:lvl>
    <w:lvl w:ilvl="1" w:tplc="E570B3C0">
      <w:start w:val="1"/>
      <w:numFmt w:val="lowerLetter"/>
      <w:lvlText w:val="%2."/>
      <w:lvlJc w:val="left"/>
      <w:pPr>
        <w:ind w:left="1440" w:hanging="360"/>
      </w:pPr>
    </w:lvl>
    <w:lvl w:ilvl="2" w:tplc="5922C102">
      <w:start w:val="1"/>
      <w:numFmt w:val="lowerRoman"/>
      <w:lvlText w:val="%3."/>
      <w:lvlJc w:val="right"/>
      <w:pPr>
        <w:ind w:left="2160" w:hanging="180"/>
      </w:pPr>
    </w:lvl>
    <w:lvl w:ilvl="3" w:tplc="F0D0DC84">
      <w:start w:val="1"/>
      <w:numFmt w:val="decimal"/>
      <w:lvlText w:val="%4."/>
      <w:lvlJc w:val="left"/>
      <w:pPr>
        <w:ind w:left="2880" w:hanging="360"/>
      </w:pPr>
    </w:lvl>
    <w:lvl w:ilvl="4" w:tplc="37A88308">
      <w:start w:val="1"/>
      <w:numFmt w:val="lowerLetter"/>
      <w:lvlText w:val="%5."/>
      <w:lvlJc w:val="left"/>
      <w:pPr>
        <w:ind w:left="3600" w:hanging="360"/>
      </w:pPr>
    </w:lvl>
    <w:lvl w:ilvl="5" w:tplc="4A8A1794">
      <w:start w:val="1"/>
      <w:numFmt w:val="lowerRoman"/>
      <w:lvlText w:val="%6."/>
      <w:lvlJc w:val="right"/>
      <w:pPr>
        <w:ind w:left="4320" w:hanging="180"/>
      </w:pPr>
    </w:lvl>
    <w:lvl w:ilvl="6" w:tplc="DE841DDA">
      <w:start w:val="1"/>
      <w:numFmt w:val="decimal"/>
      <w:lvlText w:val="%7."/>
      <w:lvlJc w:val="left"/>
      <w:pPr>
        <w:ind w:left="5040" w:hanging="360"/>
      </w:pPr>
    </w:lvl>
    <w:lvl w:ilvl="7" w:tplc="7CC65BC4">
      <w:start w:val="1"/>
      <w:numFmt w:val="lowerLetter"/>
      <w:lvlText w:val="%8."/>
      <w:lvlJc w:val="left"/>
      <w:pPr>
        <w:ind w:left="5760" w:hanging="360"/>
      </w:pPr>
    </w:lvl>
    <w:lvl w:ilvl="8" w:tplc="FDB25D44">
      <w:start w:val="1"/>
      <w:numFmt w:val="lowerRoman"/>
      <w:lvlText w:val="%9."/>
      <w:lvlJc w:val="right"/>
      <w:pPr>
        <w:ind w:left="6480" w:hanging="180"/>
      </w:pPr>
    </w:lvl>
  </w:abstractNum>
  <w:abstractNum w:abstractNumId="15" w15:restartNumberingAfterBreak="0">
    <w:nsid w:val="7EE26522"/>
    <w:multiLevelType w:val="hybridMultilevel"/>
    <w:tmpl w:val="1C287534"/>
    <w:lvl w:ilvl="0" w:tplc="E3665FB6">
      <w:start w:val="1"/>
      <w:numFmt w:val="decimal"/>
      <w:lvlText w:val="%1."/>
      <w:lvlJc w:val="left"/>
      <w:pPr>
        <w:ind w:left="720" w:hanging="360"/>
      </w:pPr>
    </w:lvl>
    <w:lvl w:ilvl="1" w:tplc="315E5790">
      <w:start w:val="1"/>
      <w:numFmt w:val="lowerLetter"/>
      <w:lvlText w:val="%2."/>
      <w:lvlJc w:val="left"/>
      <w:pPr>
        <w:ind w:left="1440" w:hanging="360"/>
      </w:pPr>
    </w:lvl>
    <w:lvl w:ilvl="2" w:tplc="A290F6C4">
      <w:start w:val="1"/>
      <w:numFmt w:val="lowerRoman"/>
      <w:lvlText w:val="%3."/>
      <w:lvlJc w:val="right"/>
      <w:pPr>
        <w:ind w:left="2160" w:hanging="180"/>
      </w:pPr>
    </w:lvl>
    <w:lvl w:ilvl="3" w:tplc="84AC2A34">
      <w:start w:val="1"/>
      <w:numFmt w:val="decimal"/>
      <w:lvlText w:val="%4."/>
      <w:lvlJc w:val="left"/>
      <w:pPr>
        <w:ind w:left="2880" w:hanging="360"/>
      </w:pPr>
    </w:lvl>
    <w:lvl w:ilvl="4" w:tplc="8D90742C">
      <w:start w:val="1"/>
      <w:numFmt w:val="lowerLetter"/>
      <w:lvlText w:val="%5."/>
      <w:lvlJc w:val="left"/>
      <w:pPr>
        <w:ind w:left="3600" w:hanging="360"/>
      </w:pPr>
    </w:lvl>
    <w:lvl w:ilvl="5" w:tplc="317483B0">
      <w:start w:val="1"/>
      <w:numFmt w:val="lowerRoman"/>
      <w:lvlText w:val="%6."/>
      <w:lvlJc w:val="right"/>
      <w:pPr>
        <w:ind w:left="4320" w:hanging="180"/>
      </w:pPr>
    </w:lvl>
    <w:lvl w:ilvl="6" w:tplc="A07C3CA0">
      <w:start w:val="1"/>
      <w:numFmt w:val="decimal"/>
      <w:lvlText w:val="%7."/>
      <w:lvlJc w:val="left"/>
      <w:pPr>
        <w:ind w:left="5040" w:hanging="360"/>
      </w:pPr>
    </w:lvl>
    <w:lvl w:ilvl="7" w:tplc="2BF4BCBC">
      <w:start w:val="1"/>
      <w:numFmt w:val="lowerLetter"/>
      <w:lvlText w:val="%8."/>
      <w:lvlJc w:val="left"/>
      <w:pPr>
        <w:ind w:left="5760" w:hanging="360"/>
      </w:pPr>
    </w:lvl>
    <w:lvl w:ilvl="8" w:tplc="089468BC">
      <w:start w:val="1"/>
      <w:numFmt w:val="lowerRoman"/>
      <w:lvlText w:val="%9."/>
      <w:lvlJc w:val="right"/>
      <w:pPr>
        <w:ind w:left="6480" w:hanging="180"/>
      </w:pPr>
    </w:lvl>
  </w:abstractNum>
  <w:num w:numId="1" w16cid:durableId="1774395777">
    <w:abstractNumId w:val="2"/>
  </w:num>
  <w:num w:numId="2" w16cid:durableId="1210916409">
    <w:abstractNumId w:val="5"/>
  </w:num>
  <w:num w:numId="3" w16cid:durableId="705369495">
    <w:abstractNumId w:val="14"/>
  </w:num>
  <w:num w:numId="4" w16cid:durableId="387454941">
    <w:abstractNumId w:val="1"/>
  </w:num>
  <w:num w:numId="5" w16cid:durableId="340473452">
    <w:abstractNumId w:val="9"/>
  </w:num>
  <w:num w:numId="6" w16cid:durableId="187066638">
    <w:abstractNumId w:val="7"/>
  </w:num>
  <w:num w:numId="7" w16cid:durableId="1784105867">
    <w:abstractNumId w:val="4"/>
  </w:num>
  <w:num w:numId="8" w16cid:durableId="611130231">
    <w:abstractNumId w:val="15"/>
  </w:num>
  <w:num w:numId="9" w16cid:durableId="2013944356">
    <w:abstractNumId w:val="12"/>
  </w:num>
  <w:num w:numId="10" w16cid:durableId="287126745">
    <w:abstractNumId w:val="13"/>
  </w:num>
  <w:num w:numId="11" w16cid:durableId="785388159">
    <w:abstractNumId w:val="3"/>
  </w:num>
  <w:num w:numId="12" w16cid:durableId="66998929">
    <w:abstractNumId w:val="8"/>
  </w:num>
  <w:num w:numId="13" w16cid:durableId="1871643272">
    <w:abstractNumId w:val="10"/>
  </w:num>
  <w:num w:numId="14" w16cid:durableId="202013993">
    <w:abstractNumId w:val="6"/>
  </w:num>
  <w:num w:numId="15" w16cid:durableId="1006059192">
    <w:abstractNumId w:val="11"/>
  </w:num>
  <w:num w:numId="16" w16cid:durableId="198981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4FD931"/>
    <w:rsid w:val="00180555"/>
    <w:rsid w:val="00183B1B"/>
    <w:rsid w:val="00210184"/>
    <w:rsid w:val="00273C8E"/>
    <w:rsid w:val="002B3B9A"/>
    <w:rsid w:val="002E2449"/>
    <w:rsid w:val="0037509A"/>
    <w:rsid w:val="00450C4A"/>
    <w:rsid w:val="004836C9"/>
    <w:rsid w:val="005F7FB2"/>
    <w:rsid w:val="00681360"/>
    <w:rsid w:val="00746C73"/>
    <w:rsid w:val="007C19E9"/>
    <w:rsid w:val="00833718"/>
    <w:rsid w:val="00880EF4"/>
    <w:rsid w:val="008E7F2A"/>
    <w:rsid w:val="009739DA"/>
    <w:rsid w:val="00A20E97"/>
    <w:rsid w:val="00A25EFF"/>
    <w:rsid w:val="00A4537D"/>
    <w:rsid w:val="00A55A75"/>
    <w:rsid w:val="00AA77EF"/>
    <w:rsid w:val="00AF32F1"/>
    <w:rsid w:val="00BB2F0F"/>
    <w:rsid w:val="00BD5D42"/>
    <w:rsid w:val="00C2249E"/>
    <w:rsid w:val="00CC3346"/>
    <w:rsid w:val="00CC5D2A"/>
    <w:rsid w:val="00D11153"/>
    <w:rsid w:val="00E375B0"/>
    <w:rsid w:val="00F009ED"/>
    <w:rsid w:val="00F026DF"/>
    <w:rsid w:val="0956FE51"/>
    <w:rsid w:val="0D2B41CF"/>
    <w:rsid w:val="117DC2EE"/>
    <w:rsid w:val="11EF68CA"/>
    <w:rsid w:val="1679F23F"/>
    <w:rsid w:val="1772D4E1"/>
    <w:rsid w:val="1A66E16F"/>
    <w:rsid w:val="1B4D6362"/>
    <w:rsid w:val="28E9248C"/>
    <w:rsid w:val="35412C1C"/>
    <w:rsid w:val="454FD931"/>
    <w:rsid w:val="45694F68"/>
    <w:rsid w:val="4B0A11AD"/>
    <w:rsid w:val="50E8B436"/>
    <w:rsid w:val="6360A732"/>
    <w:rsid w:val="64A503D0"/>
    <w:rsid w:val="6A286FE7"/>
    <w:rsid w:val="6F57A276"/>
    <w:rsid w:val="751FDA38"/>
    <w:rsid w:val="7F3DEC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FD931"/>
  <w15:chartTrackingRefBased/>
  <w15:docId w15:val="{AE6E7128-FDBA-4214-9765-A599D773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83B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739D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83B1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739D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421">
      <w:bodyDiv w:val="1"/>
      <w:marLeft w:val="0"/>
      <w:marRight w:val="0"/>
      <w:marTop w:val="0"/>
      <w:marBottom w:val="0"/>
      <w:divBdr>
        <w:top w:val="none" w:sz="0" w:space="0" w:color="auto"/>
        <w:left w:val="none" w:sz="0" w:space="0" w:color="auto"/>
        <w:bottom w:val="none" w:sz="0" w:space="0" w:color="auto"/>
        <w:right w:val="none" w:sz="0" w:space="0" w:color="auto"/>
      </w:divBdr>
    </w:div>
    <w:div w:id="102850147">
      <w:bodyDiv w:val="1"/>
      <w:marLeft w:val="0"/>
      <w:marRight w:val="0"/>
      <w:marTop w:val="0"/>
      <w:marBottom w:val="0"/>
      <w:divBdr>
        <w:top w:val="none" w:sz="0" w:space="0" w:color="auto"/>
        <w:left w:val="none" w:sz="0" w:space="0" w:color="auto"/>
        <w:bottom w:val="none" w:sz="0" w:space="0" w:color="auto"/>
        <w:right w:val="none" w:sz="0" w:space="0" w:color="auto"/>
      </w:divBdr>
    </w:div>
    <w:div w:id="188959801">
      <w:bodyDiv w:val="1"/>
      <w:marLeft w:val="0"/>
      <w:marRight w:val="0"/>
      <w:marTop w:val="0"/>
      <w:marBottom w:val="0"/>
      <w:divBdr>
        <w:top w:val="none" w:sz="0" w:space="0" w:color="auto"/>
        <w:left w:val="none" w:sz="0" w:space="0" w:color="auto"/>
        <w:bottom w:val="none" w:sz="0" w:space="0" w:color="auto"/>
        <w:right w:val="none" w:sz="0" w:space="0" w:color="auto"/>
      </w:divBdr>
    </w:div>
    <w:div w:id="314991827">
      <w:bodyDiv w:val="1"/>
      <w:marLeft w:val="0"/>
      <w:marRight w:val="0"/>
      <w:marTop w:val="0"/>
      <w:marBottom w:val="0"/>
      <w:divBdr>
        <w:top w:val="none" w:sz="0" w:space="0" w:color="auto"/>
        <w:left w:val="none" w:sz="0" w:space="0" w:color="auto"/>
        <w:bottom w:val="none" w:sz="0" w:space="0" w:color="auto"/>
        <w:right w:val="none" w:sz="0" w:space="0" w:color="auto"/>
      </w:divBdr>
    </w:div>
    <w:div w:id="358357514">
      <w:bodyDiv w:val="1"/>
      <w:marLeft w:val="0"/>
      <w:marRight w:val="0"/>
      <w:marTop w:val="0"/>
      <w:marBottom w:val="0"/>
      <w:divBdr>
        <w:top w:val="none" w:sz="0" w:space="0" w:color="auto"/>
        <w:left w:val="none" w:sz="0" w:space="0" w:color="auto"/>
        <w:bottom w:val="none" w:sz="0" w:space="0" w:color="auto"/>
        <w:right w:val="none" w:sz="0" w:space="0" w:color="auto"/>
      </w:divBdr>
    </w:div>
    <w:div w:id="629438940">
      <w:bodyDiv w:val="1"/>
      <w:marLeft w:val="0"/>
      <w:marRight w:val="0"/>
      <w:marTop w:val="0"/>
      <w:marBottom w:val="0"/>
      <w:divBdr>
        <w:top w:val="none" w:sz="0" w:space="0" w:color="auto"/>
        <w:left w:val="none" w:sz="0" w:space="0" w:color="auto"/>
        <w:bottom w:val="none" w:sz="0" w:space="0" w:color="auto"/>
        <w:right w:val="none" w:sz="0" w:space="0" w:color="auto"/>
      </w:divBdr>
    </w:div>
    <w:div w:id="720253304">
      <w:bodyDiv w:val="1"/>
      <w:marLeft w:val="0"/>
      <w:marRight w:val="0"/>
      <w:marTop w:val="0"/>
      <w:marBottom w:val="0"/>
      <w:divBdr>
        <w:top w:val="none" w:sz="0" w:space="0" w:color="auto"/>
        <w:left w:val="none" w:sz="0" w:space="0" w:color="auto"/>
        <w:bottom w:val="none" w:sz="0" w:space="0" w:color="auto"/>
        <w:right w:val="none" w:sz="0" w:space="0" w:color="auto"/>
      </w:divBdr>
    </w:div>
    <w:div w:id="897860181">
      <w:bodyDiv w:val="1"/>
      <w:marLeft w:val="0"/>
      <w:marRight w:val="0"/>
      <w:marTop w:val="0"/>
      <w:marBottom w:val="0"/>
      <w:divBdr>
        <w:top w:val="none" w:sz="0" w:space="0" w:color="auto"/>
        <w:left w:val="none" w:sz="0" w:space="0" w:color="auto"/>
        <w:bottom w:val="none" w:sz="0" w:space="0" w:color="auto"/>
        <w:right w:val="none" w:sz="0" w:space="0" w:color="auto"/>
      </w:divBdr>
    </w:div>
    <w:div w:id="985403726">
      <w:bodyDiv w:val="1"/>
      <w:marLeft w:val="0"/>
      <w:marRight w:val="0"/>
      <w:marTop w:val="0"/>
      <w:marBottom w:val="0"/>
      <w:divBdr>
        <w:top w:val="none" w:sz="0" w:space="0" w:color="auto"/>
        <w:left w:val="none" w:sz="0" w:space="0" w:color="auto"/>
        <w:bottom w:val="none" w:sz="0" w:space="0" w:color="auto"/>
        <w:right w:val="none" w:sz="0" w:space="0" w:color="auto"/>
      </w:divBdr>
    </w:div>
    <w:div w:id="1056391931">
      <w:bodyDiv w:val="1"/>
      <w:marLeft w:val="0"/>
      <w:marRight w:val="0"/>
      <w:marTop w:val="0"/>
      <w:marBottom w:val="0"/>
      <w:divBdr>
        <w:top w:val="none" w:sz="0" w:space="0" w:color="auto"/>
        <w:left w:val="none" w:sz="0" w:space="0" w:color="auto"/>
        <w:bottom w:val="none" w:sz="0" w:space="0" w:color="auto"/>
        <w:right w:val="none" w:sz="0" w:space="0" w:color="auto"/>
      </w:divBdr>
    </w:div>
    <w:div w:id="1495026051">
      <w:bodyDiv w:val="1"/>
      <w:marLeft w:val="0"/>
      <w:marRight w:val="0"/>
      <w:marTop w:val="0"/>
      <w:marBottom w:val="0"/>
      <w:divBdr>
        <w:top w:val="none" w:sz="0" w:space="0" w:color="auto"/>
        <w:left w:val="none" w:sz="0" w:space="0" w:color="auto"/>
        <w:bottom w:val="none" w:sz="0" w:space="0" w:color="auto"/>
        <w:right w:val="none" w:sz="0" w:space="0" w:color="auto"/>
      </w:divBdr>
    </w:div>
    <w:div w:id="1507866070">
      <w:bodyDiv w:val="1"/>
      <w:marLeft w:val="0"/>
      <w:marRight w:val="0"/>
      <w:marTop w:val="0"/>
      <w:marBottom w:val="0"/>
      <w:divBdr>
        <w:top w:val="none" w:sz="0" w:space="0" w:color="auto"/>
        <w:left w:val="none" w:sz="0" w:space="0" w:color="auto"/>
        <w:bottom w:val="none" w:sz="0" w:space="0" w:color="auto"/>
        <w:right w:val="none" w:sz="0" w:space="0" w:color="auto"/>
      </w:divBdr>
      <w:divsChild>
        <w:div w:id="2141144700">
          <w:marLeft w:val="0"/>
          <w:marRight w:val="0"/>
          <w:marTop w:val="0"/>
          <w:marBottom w:val="0"/>
          <w:divBdr>
            <w:top w:val="none" w:sz="0" w:space="0" w:color="auto"/>
            <w:left w:val="none" w:sz="0" w:space="0" w:color="auto"/>
            <w:bottom w:val="none" w:sz="0" w:space="0" w:color="auto"/>
            <w:right w:val="none" w:sz="0" w:space="0" w:color="auto"/>
          </w:divBdr>
        </w:div>
        <w:div w:id="416291978">
          <w:marLeft w:val="0"/>
          <w:marRight w:val="0"/>
          <w:marTop w:val="0"/>
          <w:marBottom w:val="0"/>
          <w:divBdr>
            <w:top w:val="none" w:sz="0" w:space="0" w:color="auto"/>
            <w:left w:val="none" w:sz="0" w:space="0" w:color="auto"/>
            <w:bottom w:val="none" w:sz="0" w:space="0" w:color="auto"/>
            <w:right w:val="none" w:sz="0" w:space="0" w:color="auto"/>
          </w:divBdr>
        </w:div>
      </w:divsChild>
    </w:div>
    <w:div w:id="1517502435">
      <w:bodyDiv w:val="1"/>
      <w:marLeft w:val="0"/>
      <w:marRight w:val="0"/>
      <w:marTop w:val="0"/>
      <w:marBottom w:val="0"/>
      <w:divBdr>
        <w:top w:val="none" w:sz="0" w:space="0" w:color="auto"/>
        <w:left w:val="none" w:sz="0" w:space="0" w:color="auto"/>
        <w:bottom w:val="none" w:sz="0" w:space="0" w:color="auto"/>
        <w:right w:val="none" w:sz="0" w:space="0" w:color="auto"/>
      </w:divBdr>
    </w:div>
    <w:div w:id="1649017240">
      <w:bodyDiv w:val="1"/>
      <w:marLeft w:val="0"/>
      <w:marRight w:val="0"/>
      <w:marTop w:val="0"/>
      <w:marBottom w:val="0"/>
      <w:divBdr>
        <w:top w:val="none" w:sz="0" w:space="0" w:color="auto"/>
        <w:left w:val="none" w:sz="0" w:space="0" w:color="auto"/>
        <w:bottom w:val="none" w:sz="0" w:space="0" w:color="auto"/>
        <w:right w:val="none" w:sz="0" w:space="0" w:color="auto"/>
      </w:divBdr>
    </w:div>
    <w:div w:id="1686591623">
      <w:bodyDiv w:val="1"/>
      <w:marLeft w:val="0"/>
      <w:marRight w:val="0"/>
      <w:marTop w:val="0"/>
      <w:marBottom w:val="0"/>
      <w:divBdr>
        <w:top w:val="none" w:sz="0" w:space="0" w:color="auto"/>
        <w:left w:val="none" w:sz="0" w:space="0" w:color="auto"/>
        <w:bottom w:val="none" w:sz="0" w:space="0" w:color="auto"/>
        <w:right w:val="none" w:sz="0" w:space="0" w:color="auto"/>
      </w:divBdr>
    </w:div>
    <w:div w:id="1992559056">
      <w:bodyDiv w:val="1"/>
      <w:marLeft w:val="0"/>
      <w:marRight w:val="0"/>
      <w:marTop w:val="0"/>
      <w:marBottom w:val="0"/>
      <w:divBdr>
        <w:top w:val="none" w:sz="0" w:space="0" w:color="auto"/>
        <w:left w:val="none" w:sz="0" w:space="0" w:color="auto"/>
        <w:bottom w:val="none" w:sz="0" w:space="0" w:color="auto"/>
        <w:right w:val="none" w:sz="0" w:space="0" w:color="auto"/>
      </w:divBdr>
      <w:divsChild>
        <w:div w:id="1774786792">
          <w:marLeft w:val="0"/>
          <w:marRight w:val="0"/>
          <w:marTop w:val="0"/>
          <w:marBottom w:val="0"/>
          <w:divBdr>
            <w:top w:val="none" w:sz="0" w:space="0" w:color="auto"/>
            <w:left w:val="none" w:sz="0" w:space="0" w:color="auto"/>
            <w:bottom w:val="none" w:sz="0" w:space="0" w:color="auto"/>
            <w:right w:val="none" w:sz="0" w:space="0" w:color="auto"/>
          </w:divBdr>
        </w:div>
        <w:div w:id="4686661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495FEC1CD6F941B8BE3B537DCFC6FF" ma:contentTypeVersion="10" ma:contentTypeDescription="Create a new document." ma:contentTypeScope="" ma:versionID="d6d1f02ff7955b5a74455c81c0826e63">
  <xsd:schema xmlns:xsd="http://www.w3.org/2001/XMLSchema" xmlns:xs="http://www.w3.org/2001/XMLSchema" xmlns:p="http://schemas.microsoft.com/office/2006/metadata/properties" xmlns:ns2="e2f04ce6-5625-4773-b511-ff6e32fd78d6" xmlns:ns3="886d0db5-4d18-497d-97ce-51cb0d7fa060" targetNamespace="http://schemas.microsoft.com/office/2006/metadata/properties" ma:root="true" ma:fieldsID="0e1ee9358fcf16fc9680f5c3c1684deb" ns2:_="" ns3:_="">
    <xsd:import namespace="e2f04ce6-5625-4773-b511-ff6e32fd78d6"/>
    <xsd:import namespace="886d0db5-4d18-497d-97ce-51cb0d7fa0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f04ce6-5625-4773-b511-ff6e32fd78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86d0db5-4d18-497d-97ce-51cb0d7fa06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1B7B83-BA54-4E04-B5BE-7C5DDAB0CF96}">
  <ds:schemaRefs>
    <ds:schemaRef ds:uri="http://schemas.microsoft.com/office/2006/metadata/properties"/>
    <ds:schemaRef ds:uri="http://schemas.openxmlformats.org/package/2006/metadata/core-properties"/>
    <ds:schemaRef ds:uri="http://purl.org/dc/elements/1.1/"/>
    <ds:schemaRef ds:uri="http://purl.org/dc/terms/"/>
    <ds:schemaRef ds:uri="http://schemas.microsoft.com/office/2006/documentManagement/types"/>
    <ds:schemaRef ds:uri="886d0db5-4d18-497d-97ce-51cb0d7fa060"/>
    <ds:schemaRef ds:uri="e2f04ce6-5625-4773-b511-ff6e32fd78d6"/>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87448AD5-F1D7-45D5-98BB-CACB0FD1D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f04ce6-5625-4773-b511-ff6e32fd78d6"/>
    <ds:schemaRef ds:uri="886d0db5-4d18-497d-97ce-51cb0d7fa0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243358-A20B-4C43-886B-E81A038AC1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5537</TotalTime>
  <Pages>5</Pages>
  <Words>1116</Words>
  <Characters>6367</Characters>
  <Application>Microsoft Office Word</Application>
  <DocSecurity>0</DocSecurity>
  <Lines>53</Lines>
  <Paragraphs>14</Paragraphs>
  <ScaleCrop>false</ScaleCrop>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Mehta, Karishma</dc:creator>
  <cp:keywords/>
  <dc:description/>
  <cp:lastModifiedBy>Momin, Amin</cp:lastModifiedBy>
  <cp:revision>25</cp:revision>
  <dcterms:created xsi:type="dcterms:W3CDTF">2025-09-25T09:22:00Z</dcterms:created>
  <dcterms:modified xsi:type="dcterms:W3CDTF">2025-10-02T12:42:00Z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0x01010021495FEC1CD6F941B8BE3B537DCFC6FF</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docLang">
    <vt:lpwstr>en</vt:lpwstr>
  </property>
</Properties>
</file>