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r w:rsidR="0097524B">
        <w:rPr>
          <w:sz w:val="24"/>
          <w:szCs w:val="24"/>
        </w:rPr>
        <w:t>, Equation 18</w:t>
      </w:r>
    </w:p>
    <w:p w:rsidR="00573201" w:rsidRDefault="00573201" w:rsidP="00F44C98">
      <w:pPr>
        <w:spacing w:after="0"/>
        <w:rPr>
          <w:sz w:val="24"/>
          <w:szCs w:val="24"/>
        </w:rPr>
      </w:pPr>
      <w:r>
        <w:rPr>
          <w:sz w:val="24"/>
          <w:szCs w:val="24"/>
        </w:rPr>
        <w:t xml:space="preserve">Response to Reviewer 2, General Comment: </w:t>
      </w:r>
      <w:r w:rsidR="0097524B">
        <w:rPr>
          <w:sz w:val="24"/>
          <w:szCs w:val="24"/>
        </w:rPr>
        <w:t>p</w:t>
      </w:r>
      <w:r w:rsidR="006223AC">
        <w:rPr>
          <w:sz w:val="24"/>
          <w:szCs w:val="24"/>
        </w:rPr>
        <w:t>p</w:t>
      </w:r>
      <w:r w:rsidR="0097524B">
        <w:rPr>
          <w:sz w:val="24"/>
          <w:szCs w:val="24"/>
        </w:rPr>
        <w:t xml:space="preserve"> 22</w:t>
      </w:r>
      <w:r w:rsidR="006223AC">
        <w:rPr>
          <w:sz w:val="24"/>
          <w:szCs w:val="24"/>
        </w:rPr>
        <w:t>,</w:t>
      </w:r>
      <w:r>
        <w:rPr>
          <w:sz w:val="24"/>
          <w:szCs w:val="24"/>
        </w:rPr>
        <w:t xml:space="preserve"> 27,</w:t>
      </w:r>
      <w:r w:rsidR="0097524B">
        <w:rPr>
          <w:sz w:val="24"/>
          <w:szCs w:val="24"/>
        </w:rPr>
        <w:t xml:space="preserve"> </w:t>
      </w:r>
      <w:r>
        <w:rPr>
          <w:sz w:val="24"/>
          <w:szCs w:val="24"/>
        </w:rPr>
        <w:t>Tables I, II, III, V, Figures 1, 2, 4-10, 12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4A7B17">
        <w:rPr>
          <w:sz w:val="24"/>
          <w:szCs w:val="24"/>
        </w:rPr>
        <w:t>e to Reviewer 2, Comment 8: pp 9-10</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4A7B17">
        <w:rPr>
          <w:sz w:val="24"/>
          <w:szCs w:val="24"/>
        </w:rPr>
        <w:t>p 18</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w:t>
      </w:r>
      <w:r w:rsidR="004A7B17">
        <w:rPr>
          <w:sz w:val="24"/>
          <w:szCs w:val="24"/>
        </w:rPr>
        <w:t>p</w:t>
      </w:r>
      <w:r w:rsidR="002F527F">
        <w:rPr>
          <w:sz w:val="24"/>
          <w:szCs w:val="24"/>
        </w:rPr>
        <w:t xml:space="preserve"> 20</w:t>
      </w:r>
      <w:r w:rsidR="004A7B17">
        <w:rPr>
          <w:sz w:val="24"/>
          <w:szCs w:val="24"/>
        </w:rPr>
        <w:t>-21</w:t>
      </w:r>
      <w:r w:rsidR="005863E4">
        <w:rPr>
          <w:sz w:val="24"/>
          <w:szCs w:val="24"/>
        </w:rPr>
        <w:t>, Equations 14 and 15</w:t>
      </w:r>
    </w:p>
    <w:p w:rsidR="00B7708F" w:rsidRDefault="00B7708F" w:rsidP="00B7708F">
      <w:pPr>
        <w:spacing w:after="0"/>
        <w:rPr>
          <w:sz w:val="24"/>
          <w:szCs w:val="24"/>
        </w:rPr>
      </w:pPr>
      <w:r w:rsidRPr="00E83712">
        <w:rPr>
          <w:sz w:val="24"/>
          <w:szCs w:val="24"/>
        </w:rPr>
        <w:t>Respo</w:t>
      </w:r>
      <w:r>
        <w:rPr>
          <w:sz w:val="24"/>
          <w:szCs w:val="24"/>
        </w:rPr>
        <w:t>nse to</w:t>
      </w:r>
      <w:r w:rsidR="00436375">
        <w:rPr>
          <w:sz w:val="24"/>
          <w:szCs w:val="24"/>
        </w:rPr>
        <w:t xml:space="preserve"> Reviewer 2, Comment 17: p 21</w:t>
      </w:r>
    </w:p>
    <w:p w:rsidR="00B7708F" w:rsidRDefault="00B7708F" w:rsidP="00B7708F">
      <w:pPr>
        <w:spacing w:after="0"/>
        <w:rPr>
          <w:sz w:val="24"/>
          <w:szCs w:val="24"/>
        </w:rPr>
      </w:pPr>
      <w:r w:rsidRPr="00E83712">
        <w:rPr>
          <w:sz w:val="24"/>
          <w:szCs w:val="24"/>
        </w:rPr>
        <w:t>Respo</w:t>
      </w:r>
      <w:r>
        <w:rPr>
          <w:sz w:val="24"/>
          <w:szCs w:val="24"/>
        </w:rPr>
        <w:t xml:space="preserve">nse to </w:t>
      </w:r>
      <w:r w:rsidR="00B41A87">
        <w:rPr>
          <w:sz w:val="24"/>
          <w:szCs w:val="24"/>
        </w:rPr>
        <w:t>Reviewer 2, Comment 18: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r w:rsidR="0097524B">
        <w:rPr>
          <w:sz w:val="24"/>
          <w:szCs w:val="24"/>
        </w:rPr>
        <w:t>, Equation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r w:rsidR="005863E4">
        <w:rPr>
          <w:sz w:val="24"/>
          <w:szCs w:val="24"/>
        </w:rPr>
        <w:t>, Equation 19</w:t>
      </w:r>
    </w:p>
    <w:p w:rsidR="00B7708F" w:rsidRDefault="00B7708F" w:rsidP="00B7708F">
      <w:pPr>
        <w:spacing w:after="0"/>
        <w:rPr>
          <w:sz w:val="24"/>
          <w:szCs w:val="24"/>
        </w:rPr>
      </w:pPr>
      <w:r w:rsidRPr="00E83712">
        <w:rPr>
          <w:sz w:val="24"/>
          <w:szCs w:val="24"/>
        </w:rPr>
        <w:lastRenderedPageBreak/>
        <w:t>Respo</w:t>
      </w:r>
      <w:r>
        <w:rPr>
          <w:sz w:val="24"/>
          <w:szCs w:val="24"/>
        </w:rPr>
        <w:t xml:space="preserve">nse to Reviewer 2, Comment 23: p </w:t>
      </w:r>
      <w:r w:rsidR="006223AC">
        <w:rPr>
          <w:sz w:val="24"/>
          <w:szCs w:val="24"/>
        </w:rPr>
        <w:t>25</w:t>
      </w:r>
    </w:p>
    <w:p w:rsidR="00B7708F" w:rsidRDefault="00B7708F" w:rsidP="00B7708F">
      <w:pPr>
        <w:spacing w:after="0"/>
        <w:rPr>
          <w:sz w:val="24"/>
          <w:szCs w:val="24"/>
        </w:rPr>
      </w:pPr>
      <w:r w:rsidRPr="00E83712">
        <w:rPr>
          <w:sz w:val="24"/>
          <w:szCs w:val="24"/>
        </w:rPr>
        <w:t>Respo</w:t>
      </w:r>
      <w:r>
        <w:rPr>
          <w:sz w:val="24"/>
          <w:szCs w:val="24"/>
        </w:rPr>
        <w:t>nse to</w:t>
      </w:r>
      <w:r w:rsidR="006223AC">
        <w:rPr>
          <w:sz w:val="24"/>
          <w:szCs w:val="24"/>
        </w:rPr>
        <w:t xml:space="preserve"> Reviewer 2, Comment 24: p 26</w:t>
      </w:r>
    </w:p>
    <w:p w:rsidR="00B7708F" w:rsidRDefault="00B7708F" w:rsidP="00B7708F">
      <w:pPr>
        <w:spacing w:after="0"/>
        <w:rPr>
          <w:sz w:val="24"/>
          <w:szCs w:val="24"/>
        </w:rPr>
      </w:pPr>
      <w:r w:rsidRPr="00E83712">
        <w:rPr>
          <w:sz w:val="24"/>
          <w:szCs w:val="24"/>
        </w:rPr>
        <w:t>Respo</w:t>
      </w:r>
      <w:r>
        <w:rPr>
          <w:sz w:val="24"/>
          <w:szCs w:val="24"/>
        </w:rPr>
        <w:t>nse to</w:t>
      </w:r>
      <w:r w:rsidR="00E414C2">
        <w:rPr>
          <w:sz w:val="24"/>
          <w:szCs w:val="24"/>
        </w:rPr>
        <w:t xml:space="preserve"> Reviewer 2, Comment 25: p 26</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E414C2">
        <w:rPr>
          <w:sz w:val="24"/>
          <w:szCs w:val="24"/>
        </w:rPr>
        <w:t>p 30</w:t>
      </w:r>
    </w:p>
    <w:p w:rsidR="00B7708F" w:rsidRDefault="00B7708F" w:rsidP="00B7708F">
      <w:pPr>
        <w:spacing w:after="0"/>
        <w:rPr>
          <w:sz w:val="24"/>
          <w:szCs w:val="24"/>
        </w:rPr>
      </w:pPr>
      <w:r w:rsidRPr="00E83712">
        <w:rPr>
          <w:sz w:val="24"/>
          <w:szCs w:val="24"/>
        </w:rPr>
        <w:t>Respo</w:t>
      </w:r>
      <w:r>
        <w:rPr>
          <w:sz w:val="24"/>
          <w:szCs w:val="24"/>
        </w:rPr>
        <w:t>nse to</w:t>
      </w:r>
      <w:r w:rsidR="006E1788">
        <w:rPr>
          <w:sz w:val="24"/>
          <w:szCs w:val="24"/>
        </w:rPr>
        <w:t xml:space="preserve"> Reviewer 2, Comment 27: p 32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28: None</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 xml:space="preserve">se to Reviewer 2, Comment 29: </w:t>
      </w:r>
      <w:r w:rsidR="007B73A2">
        <w:rPr>
          <w:sz w:val="24"/>
          <w:szCs w:val="24"/>
        </w:rPr>
        <w:t>References</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573201" w:rsidRDefault="00573201">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more common in the literature than </w:t>
      </w:r>
      <w:r w:rsidR="00F65D68">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Pr</w:t>
      </w:r>
      <w:proofErr w:type="spellEnd"/>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in our experience, more complete descriptions of concepts and procedures help </w:t>
      </w:r>
      <w:proofErr w:type="gramStart"/>
      <w:r>
        <w:rPr>
          <w:rFonts w:ascii="Arial" w:hAnsi="Arial" w:cs="Arial"/>
          <w:color w:val="00B0F0"/>
          <w:sz w:val="19"/>
          <w:szCs w:val="19"/>
          <w:shd w:val="clear" w:color="auto" w:fill="FFFFFF"/>
        </w:rPr>
        <w:t>the majority of</w:t>
      </w:r>
      <w:proofErr w:type="gramEnd"/>
      <w:r>
        <w:rPr>
          <w:rFonts w:ascii="Arial" w:hAnsi="Arial" w:cs="Arial"/>
          <w:color w:val="00B0F0"/>
          <w:sz w:val="19"/>
          <w:szCs w:val="19"/>
          <w:shd w:val="clear" w:color="auto" w:fill="FFFFFF"/>
        </w:rPr>
        <w:t xml:space="preserve">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in </w:t>
      </w:r>
      <w:proofErr w:type="gramStart"/>
      <w:r w:rsidR="009E5402">
        <w:rPr>
          <w:rFonts w:ascii="Arial" w:hAnsi="Arial" w:cs="Arial"/>
          <w:color w:val="00B0F0"/>
          <w:sz w:val="19"/>
          <w:szCs w:val="19"/>
        </w:rPr>
        <w:t>great detail</w:t>
      </w:r>
      <w:proofErr w:type="gramEnd"/>
      <w:r w:rsidR="009E5402">
        <w:rPr>
          <w:rFonts w:ascii="Arial" w:hAnsi="Arial" w:cs="Arial"/>
          <w:color w:val="00B0F0"/>
          <w:sz w:val="19"/>
          <w:szCs w:val="19"/>
        </w:rPr>
        <w:t xml:space="preserve">,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573201" w:rsidRDefault="00573201" w:rsidP="00890DA2"/>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Response:</w:t>
      </w:r>
    </w:p>
    <w:p w:rsidR="00CA706A" w:rsidRDefault="00CA706A" w:rsidP="00890DA2">
      <w:r>
        <w:rPr>
          <w:rFonts w:ascii="Arial" w:hAnsi="Arial" w:cs="Arial"/>
          <w:color w:val="00B0F0"/>
          <w:sz w:val="19"/>
          <w:szCs w:val="19"/>
          <w:shd w:val="clear" w:color="auto" w:fill="FFFFFF"/>
        </w:rPr>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xml:space="preserve">; other methods could have been used (though would have required additional development). MBAR-ITIC is the use of MBAR to calculate the properties of </w:t>
      </w:r>
      <w:proofErr w:type="spellStart"/>
      <w:proofErr w:type="gramStart"/>
      <w:r>
        <w:rPr>
          <w:rFonts w:ascii="Arial" w:hAnsi="Arial" w:cs="Arial"/>
          <w:color w:val="00B0F0"/>
          <w:sz w:val="19"/>
          <w:szCs w:val="19"/>
          <w:shd w:val="clear" w:color="auto" w:fill="FFFFFF"/>
        </w:rPr>
        <w:t>ITIC,at</w:t>
      </w:r>
      <w:proofErr w:type="spellEnd"/>
      <w:proofErr w:type="gramEnd"/>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2529A8" w:rsidRDefault="00CA706A"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CA706A" w:rsidRDefault="00337329" w:rsidP="00890DA2">
      <w:r>
        <w:rPr>
          <w:rFonts w:ascii="Arial" w:hAnsi="Arial" w:cs="Arial"/>
          <w:color w:val="00B0F0"/>
          <w:sz w:val="19"/>
          <w:szCs w:val="19"/>
          <w:shd w:val="clear" w:color="auto" w:fill="FFFFFF"/>
        </w:rPr>
        <w:t xml:space="preserve">We have included the following on page </w:t>
      </w:r>
      <w:r w:rsidR="002529A8">
        <w:rPr>
          <w:rFonts w:ascii="Arial" w:hAnsi="Arial" w:cs="Arial"/>
          <w:color w:val="00B0F0"/>
          <w:sz w:val="19"/>
          <w:szCs w:val="19"/>
          <w:shd w:val="clear" w:color="auto" w:fill="FFFFFF"/>
        </w:rPr>
        <w:t>27</w:t>
      </w:r>
      <w:r>
        <w:rPr>
          <w:rFonts w:ascii="Arial" w:hAnsi="Arial" w:cs="Arial"/>
          <w:color w:val="00B0F0"/>
          <w:sz w:val="19"/>
          <w:szCs w:val="19"/>
          <w:shd w:val="clear" w:color="auto" w:fill="FFFFFF"/>
        </w:rPr>
        <w:t>, “</w:t>
      </w:r>
      <w:r w:rsidR="00B22936" w:rsidRPr="00FA65D7">
        <w:rPr>
          <w:rFonts w:ascii="Arial" w:hAnsi="Arial" w:cs="Arial"/>
          <w:color w:val="00B0F0"/>
          <w:sz w:val="19"/>
          <w:szCs w:val="19"/>
          <w:shd w:val="clear" w:color="auto" w:fill="FFFFFF"/>
        </w:rPr>
        <w:t>As the simulation results of branched alkanes are significantly less accurate than those</w:t>
      </w:r>
      <w:r w:rsidR="00B22936">
        <w:rPr>
          <w:rFonts w:ascii="Arial" w:hAnsi="Arial" w:cs="Arial"/>
          <w:color w:val="00B0F0"/>
          <w:sz w:val="19"/>
          <w:szCs w:val="19"/>
          <w:shd w:val="clear" w:color="auto" w:fill="FFFFFF"/>
        </w:rPr>
        <w:t xml:space="preserve"> of</w:t>
      </w:r>
      <w:r w:rsidR="005C6D1C">
        <w:rPr>
          <w:rFonts w:ascii="Arial" w:hAnsi="Arial" w:cs="Arial"/>
          <w:color w:val="00B0F0"/>
          <w:sz w:val="19"/>
          <w:szCs w:val="19"/>
          <w:shd w:val="clear" w:color="auto" w:fill="FFFFFF"/>
        </w:rPr>
        <w:t xml:space="preserve"> n-alkanes for </w:t>
      </w:r>
      <w:r>
        <w:rPr>
          <w:rFonts w:ascii="Arial" w:hAnsi="Arial" w:cs="Arial"/>
          <w:color w:val="00B0F0"/>
          <w:sz w:val="19"/>
          <w:szCs w:val="19"/>
          <w:shd w:val="clear" w:color="auto" w:fill="FFFFFF"/>
        </w:rPr>
        <w:t xml:space="preserve">both VLE and </w:t>
      </w:r>
      <w:proofErr w:type="gramStart"/>
      <w:r>
        <w:rPr>
          <w:rFonts w:ascii="Arial" w:hAnsi="Arial" w:cs="Arial"/>
          <w:color w:val="00B0F0"/>
          <w:sz w:val="19"/>
          <w:szCs w:val="19"/>
          <w:shd w:val="clear" w:color="auto" w:fill="FFFFFF"/>
        </w:rPr>
        <w:t>high pressure</w:t>
      </w:r>
      <w:proofErr w:type="gramEnd"/>
      <w:r>
        <w:rPr>
          <w:rFonts w:ascii="Arial" w:hAnsi="Arial" w:cs="Arial"/>
          <w:color w:val="00B0F0"/>
          <w:sz w:val="19"/>
          <w:szCs w:val="19"/>
          <w:shd w:val="clear" w:color="auto" w:fill="FFFFFF"/>
        </w:rPr>
        <w:t xml:space="preserve"> properties</w:t>
      </w:r>
      <w:r w:rsidR="005C6D1C">
        <w:rPr>
          <w:rFonts w:ascii="Arial" w:hAnsi="Arial" w:cs="Arial"/>
          <w:color w:val="00B0F0"/>
          <w:sz w:val="19"/>
          <w:szCs w:val="19"/>
          <w:shd w:val="clear" w:color="auto" w:fill="FFFFFF"/>
        </w:rPr>
        <w:t xml:space="preserve"> (cf. Figure</w:t>
      </w:r>
      <w:r w:rsidR="00B22936">
        <w:rPr>
          <w:rFonts w:ascii="Arial" w:hAnsi="Arial" w:cs="Arial"/>
          <w:color w:val="00B0F0"/>
          <w:sz w:val="19"/>
          <w:szCs w:val="19"/>
          <w:shd w:val="clear" w:color="auto" w:fill="FFFFFF"/>
        </w:rPr>
        <w:t>s 4 and</w:t>
      </w:r>
      <w:r w:rsidR="005C6D1C">
        <w:rPr>
          <w:rFonts w:ascii="Arial" w:hAnsi="Arial" w:cs="Arial"/>
          <w:color w:val="00B0F0"/>
          <w:sz w:val="19"/>
          <w:szCs w:val="19"/>
          <w:shd w:val="clear" w:color="auto" w:fill="FFFFFF"/>
        </w:rPr>
        <w:t xml:space="preserve"> 5)</w:t>
      </w:r>
      <w:r>
        <w:rPr>
          <w:rFonts w:ascii="Arial" w:hAnsi="Arial" w:cs="Arial"/>
          <w:color w:val="00B0F0"/>
          <w:sz w:val="19"/>
          <w:szCs w:val="19"/>
          <w:shd w:val="clear" w:color="auto" w:fill="FFFFFF"/>
        </w:rPr>
        <w:t xml:space="preserve">, </w:t>
      </w:r>
      <w:r w:rsidR="00BA5224" w:rsidRPr="00BA5224">
        <w:rPr>
          <w:rFonts w:ascii="Arial" w:hAnsi="Arial" w:cs="Arial"/>
          <w:color w:val="00B0F0"/>
          <w:sz w:val="19"/>
          <w:szCs w:val="19"/>
          <w:shd w:val="clear" w:color="auto" w:fill="FFFFFF"/>
        </w:rPr>
        <w:t>we do not investigate the uncertainties of CH and C interaction sites</w:t>
      </w:r>
      <w:r>
        <w:rPr>
          <w:rFonts w:ascii="Arial" w:hAnsi="Arial" w:cs="Arial"/>
          <w:color w:val="00B0F0"/>
          <w:sz w:val="19"/>
          <w:szCs w:val="19"/>
          <w:shd w:val="clear" w:color="auto" w:fill="FFFFFF"/>
        </w:rPr>
        <w:t>.</w:t>
      </w:r>
      <w:r w:rsidR="005C6D1C">
        <w:rPr>
          <w:rFonts w:ascii="Arial" w:hAnsi="Arial" w:cs="Arial"/>
          <w:color w:val="00B0F0"/>
          <w:sz w:val="19"/>
          <w:szCs w:val="19"/>
          <w:shd w:val="clear" w:color="auto" w:fill="FFFFFF"/>
        </w:rPr>
        <w:t>”</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337329"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 have included references in the captions for</w:t>
      </w:r>
      <w:r w:rsidR="00BE1C38">
        <w:rPr>
          <w:rFonts w:ascii="Arial" w:hAnsi="Arial" w:cs="Arial"/>
          <w:color w:val="00B0F0"/>
          <w:sz w:val="19"/>
          <w:szCs w:val="19"/>
          <w:shd w:val="clear" w:color="auto" w:fill="FFFFFF"/>
        </w:rPr>
        <w:t xml:space="preserve"> Tables I, II, III</w:t>
      </w:r>
      <w:r w:rsidR="009C3D7A">
        <w:rPr>
          <w:rFonts w:ascii="Arial" w:hAnsi="Arial" w:cs="Arial"/>
          <w:color w:val="00B0F0"/>
          <w:sz w:val="19"/>
          <w:szCs w:val="19"/>
          <w:shd w:val="clear" w:color="auto" w:fill="FFFFFF"/>
        </w:rPr>
        <w:t>,</w:t>
      </w:r>
      <w:r w:rsidR="00BE1C38">
        <w:rPr>
          <w:rFonts w:ascii="Arial" w:hAnsi="Arial" w:cs="Arial"/>
          <w:color w:val="00B0F0"/>
          <w:sz w:val="19"/>
          <w:szCs w:val="19"/>
          <w:shd w:val="clear" w:color="auto" w:fill="FFFFFF"/>
        </w:rPr>
        <w:t xml:space="preserve"> and V</w:t>
      </w:r>
      <w:r w:rsidR="009C3D7A">
        <w:rPr>
          <w:rFonts w:ascii="Arial" w:hAnsi="Arial" w:cs="Arial"/>
          <w:color w:val="00B0F0"/>
          <w:sz w:val="19"/>
          <w:szCs w:val="19"/>
          <w:shd w:val="clear" w:color="auto" w:fill="FFFFFF"/>
        </w:rPr>
        <w:t xml:space="preserve"> as well as</w:t>
      </w:r>
      <w:r w:rsidR="00BE1C38">
        <w:rPr>
          <w:rFonts w:ascii="Arial" w:hAnsi="Arial" w:cs="Arial"/>
          <w:color w:val="00B0F0"/>
          <w:sz w:val="19"/>
          <w:szCs w:val="19"/>
          <w:shd w:val="clear" w:color="auto" w:fill="FFFFFF"/>
        </w:rPr>
        <w:t xml:space="preserve"> for Figures 1, 2, 4, 5, </w:t>
      </w:r>
      <w:r w:rsidR="00EC1CCE">
        <w:rPr>
          <w:rFonts w:ascii="Arial" w:hAnsi="Arial" w:cs="Arial"/>
          <w:color w:val="00B0F0"/>
          <w:sz w:val="19"/>
          <w:szCs w:val="19"/>
          <w:shd w:val="clear" w:color="auto" w:fill="FFFFFF"/>
        </w:rPr>
        <w:t>6, 7, 8,</w:t>
      </w:r>
      <w:r w:rsidR="009C3D7A">
        <w:rPr>
          <w:rFonts w:ascii="Arial" w:hAnsi="Arial" w:cs="Arial"/>
          <w:color w:val="00B0F0"/>
          <w:sz w:val="19"/>
          <w:szCs w:val="19"/>
          <w:shd w:val="clear" w:color="auto" w:fill="FFFFFF"/>
        </w:rPr>
        <w:t xml:space="preserve"> 9, and 12. </w:t>
      </w:r>
      <w:r w:rsidR="00BE1C38">
        <w:rPr>
          <w:rFonts w:ascii="Arial" w:hAnsi="Arial" w:cs="Arial"/>
          <w:color w:val="00B0F0"/>
          <w:sz w:val="19"/>
          <w:szCs w:val="19"/>
          <w:shd w:val="clear" w:color="auto" w:fill="FFFFFF"/>
        </w:rPr>
        <w:t>We have also included substances in the captions for Figure</w:t>
      </w:r>
      <w:r w:rsidR="00EC1CCE">
        <w:rPr>
          <w:rFonts w:ascii="Arial" w:hAnsi="Arial" w:cs="Arial"/>
          <w:color w:val="00B0F0"/>
          <w:sz w:val="19"/>
          <w:szCs w:val="19"/>
          <w:shd w:val="clear" w:color="auto" w:fill="FFFFFF"/>
        </w:rPr>
        <w:t>s</w:t>
      </w:r>
      <w:r w:rsidR="00BE1C38">
        <w:rPr>
          <w:rFonts w:ascii="Arial" w:hAnsi="Arial" w:cs="Arial"/>
          <w:color w:val="00B0F0"/>
          <w:sz w:val="19"/>
          <w:szCs w:val="19"/>
          <w:shd w:val="clear" w:color="auto" w:fill="FFFFFF"/>
        </w:rPr>
        <w:t xml:space="preserve"> 1</w:t>
      </w:r>
      <w:r w:rsidR="00EC1CCE">
        <w:rPr>
          <w:rFonts w:ascii="Arial" w:hAnsi="Arial" w:cs="Arial"/>
          <w:color w:val="00B0F0"/>
          <w:sz w:val="19"/>
          <w:szCs w:val="19"/>
          <w:shd w:val="clear" w:color="auto" w:fill="FFFFFF"/>
        </w:rPr>
        <w:t>, 8</w:t>
      </w:r>
      <w:r w:rsidR="009C3D7A">
        <w:rPr>
          <w:rFonts w:ascii="Arial" w:hAnsi="Arial" w:cs="Arial"/>
          <w:color w:val="00B0F0"/>
          <w:sz w:val="19"/>
          <w:szCs w:val="19"/>
          <w:shd w:val="clear" w:color="auto" w:fill="FFFFFF"/>
        </w:rPr>
        <w:t>, 10, and 12.</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 xml:space="preserve">have changed this to “several </w:t>
      </w:r>
      <w:r w:rsidR="00573201">
        <w:rPr>
          <w:rFonts w:ascii="Arial" w:hAnsi="Arial" w:cs="Arial"/>
          <w:color w:val="00B0F0"/>
          <w:sz w:val="19"/>
          <w:szCs w:val="19"/>
          <w:shd w:val="clear" w:color="auto" w:fill="FFFFFF"/>
        </w:rPr>
        <w:t xml:space="preserve">recent </w:t>
      </w:r>
      <w:r w:rsidR="00FB15AC">
        <w:rPr>
          <w:rFonts w:ascii="Arial" w:hAnsi="Arial" w:cs="Arial"/>
          <w:color w:val="00B0F0"/>
          <w:sz w:val="19"/>
          <w:szCs w:val="19"/>
          <w:shd w:val="clear" w:color="auto" w:fill="FFFFFF"/>
        </w:rPr>
        <w:t>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 xml:space="preserve">Although an AA force field should yield more accurate VLE results, it is much easier to </w:t>
      </w:r>
      <w:r w:rsidR="00DE0379" w:rsidRPr="00DE0379">
        <w:rPr>
          <w:rFonts w:ascii="Arial" w:hAnsi="Arial" w:cs="Arial"/>
          <w:color w:val="00B0F0"/>
          <w:sz w:val="19"/>
          <w:szCs w:val="19"/>
          <w:shd w:val="clear" w:color="auto" w:fill="FFFFFF"/>
        </w:rPr>
        <w:lastRenderedPageBreak/>
        <w:t>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w:t>
      </w:r>
      <w:proofErr w:type="spellStart"/>
      <w:r w:rsidR="001E50F4">
        <w:rPr>
          <w:rFonts w:ascii="Arial" w:hAnsi="Arial" w:cs="Arial"/>
          <w:color w:val="00B0F0"/>
          <w:sz w:val="19"/>
          <w:szCs w:val="19"/>
          <w:shd w:val="clear" w:color="auto" w:fill="FFFFFF"/>
        </w:rPr>
        <w:t>LINear</w:t>
      </w:r>
      <w:proofErr w:type="spellEnd"/>
      <w:r w:rsidR="001E50F4">
        <w:rPr>
          <w:rFonts w:ascii="Arial" w:hAnsi="Arial" w:cs="Arial"/>
          <w:color w:val="00B0F0"/>
          <w:sz w:val="19"/>
          <w:szCs w:val="19"/>
          <w:shd w:val="clear" w:color="auto" w:fill="FFFFFF"/>
        </w:rPr>
        <w:t xml:space="preserve">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Pr>
        <w:rPr>
          <w:rFonts w:ascii="Arial" w:hAnsi="Arial" w:cs="Arial"/>
          <w:color w:val="00B0F0"/>
          <w:sz w:val="19"/>
          <w:szCs w:val="19"/>
          <w:shd w:val="clear" w:color="auto" w:fill="FFFFFF"/>
        </w:rPr>
      </w:pPr>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4A7B17" w:rsidRDefault="004A7B17" w:rsidP="00890DA2"/>
    <w:p w:rsidR="00890DA2" w:rsidRDefault="00CD5964" w:rsidP="00890DA2">
      <w:r>
        <w:rPr>
          <w:rFonts w:ascii="Cambria" w:hAnsi="Cambria"/>
          <w:b/>
          <w:u w:val="single"/>
        </w:rPr>
        <w:lastRenderedPageBreak/>
        <w:t>Comment #9</w:t>
      </w:r>
    </w:p>
    <w:p w:rsidR="00890DA2" w:rsidRDefault="00890DA2" w:rsidP="00890DA2">
      <w:r>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4A7B17" w:rsidRDefault="004A7B17" w:rsidP="00890DA2"/>
    <w:p w:rsidR="00890DA2" w:rsidRDefault="00890DA2" w:rsidP="00890DA2">
      <w:r w:rsidRPr="006B06FC">
        <w:rPr>
          <w:rFonts w:ascii="Cambria" w:hAnsi="Cambria"/>
          <w:b/>
          <w:u w:val="single"/>
        </w:rPr>
        <w:lastRenderedPageBreak/>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 xml:space="preserve">of the moves are accepted, i.e.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4A7B17">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4A7B17"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are</w:t>
      </w:r>
      <w:r w:rsidR="004A7B17" w:rsidRPr="00E00AB5">
        <w:rPr>
          <w:rFonts w:ascii="Arial" w:eastAsiaTheme="minorEastAsia" w:hAnsi="Arial" w:cs="Arial"/>
          <w:color w:val="00B0F0"/>
          <w:sz w:val="19"/>
          <w:szCs w:val="19"/>
          <w:shd w:val="clear" w:color="auto" w:fill="FFFFFF"/>
        </w:rPr>
        <w:t xml:space="preserve"> decreased</w:t>
      </w:r>
      <w:r w:rsidR="00E00AB5" w:rsidRPr="00E00AB5">
        <w:rPr>
          <w:rFonts w:ascii="Arial" w:eastAsiaTheme="minorEastAsia" w:hAnsi="Arial" w:cs="Arial"/>
          <w:color w:val="00B0F0"/>
          <w:sz w:val="19"/>
          <w:szCs w:val="19"/>
          <w:shd w:val="clear" w:color="auto" w:fill="FFFFFF"/>
        </w:rPr>
        <w:t xml:space="preserve"> if the acceptance rate of MCMC moves is less than </w:t>
      </w:r>
      <w:r w:rsidR="00E00AB5">
        <w:rPr>
          <w:rFonts w:ascii="Arial" w:eastAsiaTheme="minorEastAsia" w:hAnsi="Arial" w:cs="Arial"/>
          <w:color w:val="00B0F0"/>
          <w:sz w:val="19"/>
          <w:szCs w:val="19"/>
          <w:shd w:val="clear" w:color="auto" w:fill="FFFFFF"/>
        </w:rPr>
        <w:t>1/3</w:t>
      </w:r>
      <w:r w:rsidR="004A7B17">
        <w:rPr>
          <w:rFonts w:ascii="Arial" w:eastAsiaTheme="minorEastAsia" w:hAnsi="Arial" w:cs="Arial"/>
          <w:color w:val="00B0F0"/>
          <w:sz w:val="19"/>
          <w:szCs w:val="19"/>
          <w:shd w:val="clear" w:color="auto" w:fill="FFFFFF"/>
        </w:rPr>
        <w:t>,</w:t>
      </w:r>
      <w:r w:rsidR="00E00AB5" w:rsidRPr="00E00AB5">
        <w:rPr>
          <w:rFonts w:ascii="Arial" w:eastAsiaTheme="minorEastAsia" w:hAnsi="Arial" w:cs="Arial"/>
          <w:color w:val="00B0F0"/>
          <w:sz w:val="19"/>
          <w:szCs w:val="19"/>
          <w:shd w:val="clear" w:color="auto" w:fill="FFFFFF"/>
        </w:rPr>
        <w:t xml:space="preserve">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w:t>
      </w:r>
      <w:r w:rsidR="005863E4">
        <w:rPr>
          <w:rFonts w:ascii="Arial" w:hAnsi="Arial" w:cs="Arial"/>
          <w:color w:val="00B0F0"/>
          <w:sz w:val="19"/>
          <w:szCs w:val="19"/>
          <w:shd w:val="clear" w:color="auto" w:fill="FFFFFF"/>
        </w:rPr>
        <w:t>ve reworded this slightly as, “T</w:t>
      </w:r>
      <w:r w:rsidR="004A561D">
        <w:rPr>
          <w:rFonts w:ascii="Arial" w:hAnsi="Arial" w:cs="Arial"/>
          <w:color w:val="00B0F0"/>
          <w:sz w:val="19"/>
          <w:szCs w:val="19"/>
          <w:shd w:val="clear" w:color="auto" w:fill="FFFFFF"/>
        </w:rPr>
        <w: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w:t>
      </w:r>
      <w:r w:rsidR="00D96580">
        <w:rPr>
          <w:rFonts w:ascii="Arial" w:eastAsiaTheme="minorEastAsia" w:hAnsi="Arial" w:cs="Arial"/>
          <w:color w:val="00B0F0"/>
          <w:sz w:val="19"/>
          <w:szCs w:val="19"/>
          <w:shd w:val="clear" w:color="auto" w:fill="FFFFFF"/>
        </w:rPr>
        <w:lastRenderedPageBreak/>
        <w:t xml:space="preserve">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xml:space="preserve">, </w:t>
      </w:r>
      <w:r w:rsidR="00AC0DC2">
        <w:rPr>
          <w:rFonts w:ascii="Arial" w:eastAsiaTheme="minorEastAsia" w:hAnsi="Arial" w:cs="Arial"/>
          <w:color w:val="00B0F0"/>
          <w:sz w:val="19"/>
          <w:szCs w:val="19"/>
          <w:shd w:val="clear" w:color="auto" w:fill="FFFFFF"/>
        </w:rPr>
        <w:t>which can be easily verified by statistical measures</w:t>
      </w:r>
      <w:bookmarkStart w:id="0" w:name="_GoBack"/>
      <w:bookmarkEnd w:id="0"/>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w:t>
      </w:r>
      <w:r w:rsidR="00270615">
        <w:rPr>
          <w:rFonts w:ascii="Arial" w:eastAsiaTheme="minorEastAsia" w:hAnsi="Arial" w:cs="Arial"/>
          <w:color w:val="00B0F0"/>
          <w:sz w:val="19"/>
          <w:szCs w:val="19"/>
          <w:shd w:val="clear" w:color="auto" w:fill="FFFFFF"/>
        </w:rPr>
        <w:t>44</w:t>
      </w:r>
      <w:r w:rsidR="006032CA">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No change was made 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r w:rsidR="005863E4">
        <w:rPr>
          <w:rFonts w:ascii="Arial" w:hAnsi="Arial" w:cs="Arial"/>
          <w:color w:val="00B0F0"/>
          <w:sz w:val="19"/>
          <w:szCs w:val="19"/>
          <w:shd w:val="clear" w:color="auto" w:fill="FFFFFF"/>
        </w:rPr>
        <w:t xml:space="preserve"> (now Equation 19)</w:t>
      </w:r>
      <w:r>
        <w:rPr>
          <w:rFonts w:ascii="Arial" w:hAnsi="Arial" w:cs="Arial"/>
          <w:color w:val="00B0F0"/>
          <w:sz w:val="19"/>
          <w:szCs w:val="19"/>
          <w:shd w:val="clear" w:color="auto" w:fill="FFFFFF"/>
        </w:rPr>
        <w:t>.</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w:t>
      </w:r>
      <w:r w:rsidR="006223AC">
        <w:rPr>
          <w:rFonts w:ascii="Arial" w:hAnsi="Arial" w:cs="Arial"/>
          <w:color w:val="00B0F0"/>
          <w:sz w:val="19"/>
          <w:szCs w:val="19"/>
          <w:shd w:val="clear" w:color="auto" w:fill="FFFFFF"/>
        </w:rPr>
        <w:t xml:space="preserve"> on page 25</w:t>
      </w:r>
      <w:r w:rsidR="00F45012">
        <w:rPr>
          <w:rFonts w:ascii="Arial" w:hAnsi="Arial" w:cs="Arial"/>
          <w:color w:val="00B0F0"/>
          <w:sz w:val="19"/>
          <w:szCs w:val="19"/>
          <w:shd w:val="clear" w:color="auto" w:fill="FFFFFF"/>
        </w:rPr>
        <w:t xml:space="preserv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r w:rsidR="006223AC">
        <w:rPr>
          <w:rFonts w:ascii="Arial" w:hAnsi="Arial" w:cs="Arial"/>
          <w:color w:val="00B0F0"/>
          <w:sz w:val="19"/>
          <w:szCs w:val="19"/>
          <w:shd w:val="clear" w:color="auto" w:fill="FFFFFF"/>
        </w:rPr>
        <w:t xml:space="preserve"> (see page 26)</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 xml:space="preserve">This is </w:t>
      </w:r>
      <w:r w:rsidR="00DE5EF5">
        <w:rPr>
          <w:rFonts w:ascii="Arial" w:hAnsi="Arial" w:cs="Arial"/>
          <w:color w:val="00B0F0"/>
          <w:sz w:val="19"/>
          <w:szCs w:val="19"/>
          <w:shd w:val="clear" w:color="auto" w:fill="FFFFFF"/>
        </w:rPr>
        <w:t xml:space="preserve">now </w:t>
      </w:r>
      <w:r w:rsidR="0081002D">
        <w:rPr>
          <w:rFonts w:ascii="Arial" w:hAnsi="Arial" w:cs="Arial"/>
          <w:color w:val="00B0F0"/>
          <w:sz w:val="19"/>
          <w:szCs w:val="19"/>
          <w:shd w:val="clear" w:color="auto" w:fill="FFFFFF"/>
        </w:rPr>
        <w:t xml:space="preserve">explained </w:t>
      </w:r>
      <w:r w:rsidR="00DE5EF5">
        <w:rPr>
          <w:rFonts w:ascii="Arial" w:hAnsi="Arial" w:cs="Arial"/>
          <w:color w:val="00B0F0"/>
          <w:sz w:val="19"/>
          <w:szCs w:val="19"/>
          <w:shd w:val="clear" w:color="auto" w:fill="FFFFFF"/>
        </w:rPr>
        <w:t>with, “</w:t>
      </w:r>
      <w:r w:rsidR="00E414C2">
        <w:rPr>
          <w:rFonts w:ascii="Arial" w:hAnsi="Arial" w:cs="Arial"/>
          <w:color w:val="00B0F0"/>
          <w:sz w:val="19"/>
          <w:szCs w:val="19"/>
          <w:shd w:val="clear" w:color="auto" w:fill="FFFFFF"/>
        </w:rPr>
        <w:t>(</w:t>
      </w:r>
      <w:proofErr w:type="spellStart"/>
      <w:r w:rsidR="00DE5EF5">
        <w:rPr>
          <w:rFonts w:ascii="Arial" w:hAnsi="Arial" w:cs="Arial"/>
          <w:color w:val="00B0F0"/>
          <w:sz w:val="19"/>
          <w:szCs w:val="19"/>
          <w:shd w:val="clear" w:color="auto" w:fill="FFFFFF"/>
        </w:rPr>
        <w:t>u</w:t>
      </w:r>
      <w:r w:rsidR="00DE5EF5" w:rsidRPr="00DE5EF5">
        <w:rPr>
          <w:rFonts w:ascii="Arial" w:hAnsi="Arial" w:cs="Arial"/>
          <w:color w:val="00B0F0"/>
          <w:sz w:val="19"/>
          <w:szCs w:val="19"/>
          <w:shd w:val="clear" w:color="auto" w:fill="FFFFFF"/>
          <w:vertAlign w:val="subscript"/>
        </w:rPr>
        <w:t>D</w:t>
      </w:r>
      <w:proofErr w:type="spellEnd"/>
      <w:r w:rsidR="00DE5EF5">
        <w:rPr>
          <w:rFonts w:ascii="Arial" w:hAnsi="Arial" w:cs="Arial"/>
          <w:color w:val="00B0F0"/>
          <w:sz w:val="19"/>
          <w:szCs w:val="19"/>
          <w:shd w:val="clear" w:color="auto" w:fill="FFFFFF"/>
        </w:rPr>
        <w:t>, at the 95% confidence level)”</w:t>
      </w:r>
      <w:r w:rsidR="00E414C2">
        <w:rPr>
          <w:rFonts w:ascii="Arial" w:hAnsi="Arial" w:cs="Arial"/>
          <w:color w:val="00B0F0"/>
          <w:sz w:val="19"/>
          <w:szCs w:val="19"/>
          <w:shd w:val="clear" w:color="auto" w:fill="FFFFFF"/>
        </w:rPr>
        <w:t xml:space="preserve"> on page 26.</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lastRenderedPageBreak/>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r w:rsidR="00E414C2">
        <w:rPr>
          <w:rFonts w:ascii="Arial" w:hAnsi="Arial" w:cs="Arial"/>
          <w:color w:val="00B0F0"/>
          <w:sz w:val="19"/>
          <w:szCs w:val="19"/>
          <w:shd w:val="clear" w:color="auto" w:fill="FFFFFF"/>
        </w:rPr>
        <w:t xml:space="preserve"> (now on page 30)</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6E1788" w:rsidP="00890DA2">
      <w:r>
        <w:rPr>
          <w:rFonts w:ascii="Arial" w:hAnsi="Arial" w:cs="Arial"/>
          <w:color w:val="00B0F0"/>
          <w:sz w:val="19"/>
          <w:szCs w:val="19"/>
          <w:shd w:val="clear" w:color="auto" w:fill="FFFFFF"/>
        </w:rPr>
        <w:t xml:space="preserve">We </w:t>
      </w:r>
      <w:r w:rsidR="007D5792">
        <w:rPr>
          <w:rFonts w:ascii="Arial" w:hAnsi="Arial" w:cs="Arial"/>
          <w:color w:val="00B0F0"/>
          <w:sz w:val="19"/>
          <w:szCs w:val="19"/>
          <w:shd w:val="clear" w:color="auto" w:fill="FFFFFF"/>
        </w:rPr>
        <w:t xml:space="preserve">list </w:t>
      </w:r>
      <w:r w:rsidR="00061125">
        <w:rPr>
          <w:rFonts w:ascii="Arial" w:hAnsi="Arial" w:cs="Arial"/>
          <w:color w:val="00B0F0"/>
          <w:sz w:val="19"/>
          <w:szCs w:val="19"/>
          <w:shd w:val="clear" w:color="auto" w:fill="FFFFFF"/>
        </w:rPr>
        <w:t>all four possible fractions</w:t>
      </w:r>
      <w:r w:rsidR="007D5792">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(now on page 32)</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For this reason, no change was made.</w:t>
      </w:r>
      <w:r w:rsidR="009A0565">
        <w:rPr>
          <w:rFonts w:ascii="Arial" w:hAnsi="Arial" w:cs="Arial"/>
          <w:color w:val="00B0F0"/>
          <w:sz w:val="19"/>
          <w:szCs w:val="19"/>
          <w:shd w:val="clear" w:color="auto" w:fill="FFFFFF"/>
        </w:rPr>
        <w:t xml:space="preserve"> </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517F24" w:rsidP="00890DA2">
      <w:r>
        <w:rPr>
          <w:rFonts w:ascii="Arial" w:hAnsi="Arial" w:cs="Arial"/>
          <w:color w:val="00B0F0"/>
          <w:sz w:val="19"/>
          <w:szCs w:val="19"/>
          <w:shd w:val="clear" w:color="auto" w:fill="FFFFFF"/>
        </w:rPr>
        <w:t>We found two main inconsistencies. First, some references included the month of publication. We have removed all months of publication. Second,</w:t>
      </w:r>
      <w:r w:rsidR="00411382">
        <w:rPr>
          <w:rFonts w:ascii="Arial" w:hAnsi="Arial" w:cs="Arial"/>
          <w:color w:val="00B0F0"/>
          <w:sz w:val="19"/>
          <w:szCs w:val="19"/>
          <w:shd w:val="clear" w:color="auto" w:fill="FFFFFF"/>
        </w:rPr>
        <w:t xml:space="preserve"> some authors have their full name </w:t>
      </w:r>
      <w:r w:rsidR="00A76B3A">
        <w:rPr>
          <w:rFonts w:ascii="Arial" w:hAnsi="Arial" w:cs="Arial"/>
          <w:color w:val="00B0F0"/>
          <w:sz w:val="19"/>
          <w:szCs w:val="19"/>
          <w:shd w:val="clear" w:color="auto" w:fill="FFFFFF"/>
        </w:rPr>
        <w:t xml:space="preserve">listed </w:t>
      </w:r>
      <w:r w:rsidR="00411382">
        <w:rPr>
          <w:rFonts w:ascii="Arial" w:hAnsi="Arial" w:cs="Arial"/>
          <w:color w:val="00B0F0"/>
          <w:sz w:val="19"/>
          <w:szCs w:val="19"/>
          <w:shd w:val="clear" w:color="auto" w:fill="FFFFFF"/>
        </w:rPr>
        <w:t>wh</w:t>
      </w:r>
      <w:r w:rsidR="00293419">
        <w:rPr>
          <w:rFonts w:ascii="Arial" w:hAnsi="Arial" w:cs="Arial"/>
          <w:color w:val="00B0F0"/>
          <w:sz w:val="19"/>
          <w:szCs w:val="19"/>
          <w:shd w:val="clear" w:color="auto" w:fill="FFFFFF"/>
        </w:rPr>
        <w:t>ile others have</w:t>
      </w:r>
      <w:r w:rsidR="00A76B3A">
        <w:rPr>
          <w:rFonts w:ascii="Arial" w:hAnsi="Arial" w:cs="Arial"/>
          <w:color w:val="00B0F0"/>
          <w:sz w:val="19"/>
          <w:szCs w:val="19"/>
          <w:shd w:val="clear" w:color="auto" w:fill="FFFFFF"/>
        </w:rPr>
        <w:t xml:space="preserve"> only</w:t>
      </w:r>
      <w:r w:rsidR="00293419">
        <w:rPr>
          <w:rFonts w:ascii="Arial" w:hAnsi="Arial" w:cs="Arial"/>
          <w:color w:val="00B0F0"/>
          <w:sz w:val="19"/>
          <w:szCs w:val="19"/>
          <w:shd w:val="clear" w:color="auto" w:fill="FFFFFF"/>
        </w:rPr>
        <w:t xml:space="preserve"> their initials.</w:t>
      </w:r>
      <w:r>
        <w:rPr>
          <w:rFonts w:ascii="Arial" w:hAnsi="Arial" w:cs="Arial"/>
          <w:color w:val="00B0F0"/>
          <w:sz w:val="19"/>
          <w:szCs w:val="19"/>
          <w:shd w:val="clear" w:color="auto" w:fill="FFFFFF"/>
        </w:rPr>
        <w:t xml:space="preserve"> </w:t>
      </w:r>
      <w:r w:rsidR="00A1238E">
        <w:rPr>
          <w:rFonts w:ascii="Arial" w:hAnsi="Arial" w:cs="Arial"/>
          <w:color w:val="00B0F0"/>
          <w:sz w:val="19"/>
          <w:szCs w:val="19"/>
          <w:shd w:val="clear" w:color="auto" w:fill="FFFFFF"/>
        </w:rPr>
        <w:t>We tried to remedy this</w:t>
      </w:r>
      <w:r>
        <w:rPr>
          <w:rFonts w:ascii="Arial" w:hAnsi="Arial" w:cs="Arial"/>
          <w:color w:val="00B0F0"/>
          <w:sz w:val="19"/>
          <w:szCs w:val="19"/>
          <w:shd w:val="clear" w:color="auto" w:fill="FFFFFF"/>
        </w:rPr>
        <w:t xml:space="preserve"> by utilizing \</w:t>
      </w:r>
      <w:proofErr w:type="spellStart"/>
      <w:r>
        <w:rPr>
          <w:rFonts w:ascii="Arial" w:hAnsi="Arial" w:cs="Arial"/>
          <w:color w:val="00B0F0"/>
          <w:sz w:val="19"/>
          <w:szCs w:val="19"/>
          <w:shd w:val="clear" w:color="auto" w:fill="FFFFFF"/>
        </w:rPr>
        <w:t>bibliographystyle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abbrv</w:t>
      </w:r>
      <w:proofErr w:type="spellEnd"/>
      <w:r>
        <w:rPr>
          <w:rFonts w:ascii="Arial" w:hAnsi="Arial" w:cs="Arial"/>
          <w:color w:val="00B0F0"/>
          <w:sz w:val="19"/>
          <w:szCs w:val="19"/>
          <w:shd w:val="clear" w:color="auto" w:fill="FFFFFF"/>
        </w:rPr>
        <w:t>} and \</w:t>
      </w:r>
      <w:proofErr w:type="spellStart"/>
      <w:r>
        <w:rPr>
          <w:rFonts w:ascii="Arial" w:hAnsi="Arial" w:cs="Arial"/>
          <w:color w:val="00B0F0"/>
          <w:sz w:val="19"/>
          <w:szCs w:val="19"/>
          <w:shd w:val="clear" w:color="auto" w:fill="FFFFFF"/>
        </w:rPr>
        <w:t>bilbiographystyle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ieeetr</w:t>
      </w:r>
      <w:proofErr w:type="spellEnd"/>
      <w:r>
        <w:rPr>
          <w:rFonts w:ascii="Arial" w:hAnsi="Arial" w:cs="Arial"/>
          <w:color w:val="00B0F0"/>
          <w:sz w:val="19"/>
          <w:szCs w:val="19"/>
          <w:shd w:val="clear" w:color="auto" w:fill="FFFFFF"/>
        </w:rPr>
        <w:t xml:space="preserve">}, but each of these introduced additional undesirable issues. </w:t>
      </w:r>
      <w:r w:rsidR="00A1238E">
        <w:rPr>
          <w:rFonts w:ascii="Arial" w:hAnsi="Arial" w:cs="Arial"/>
          <w:color w:val="00B0F0"/>
          <w:sz w:val="19"/>
          <w:szCs w:val="19"/>
          <w:shd w:val="clear" w:color="auto" w:fill="FFFFFF"/>
        </w:rPr>
        <w:t>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DF5" w:rsidRDefault="00B16DF5" w:rsidP="00F44C98">
      <w:pPr>
        <w:spacing w:after="0" w:line="240" w:lineRule="auto"/>
      </w:pPr>
      <w:r>
        <w:separator/>
      </w:r>
    </w:p>
  </w:endnote>
  <w:endnote w:type="continuationSeparator" w:id="0">
    <w:p w:rsidR="00B16DF5" w:rsidRDefault="00B16DF5"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DF5" w:rsidRDefault="00B16DF5" w:rsidP="00F44C98">
      <w:pPr>
        <w:spacing w:after="0" w:line="240" w:lineRule="auto"/>
      </w:pPr>
      <w:r>
        <w:separator/>
      </w:r>
    </w:p>
  </w:footnote>
  <w:footnote w:type="continuationSeparator" w:id="0">
    <w:p w:rsidR="00B16DF5" w:rsidRDefault="00B16DF5"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29A8"/>
    <w:rsid w:val="00255687"/>
    <w:rsid w:val="00263075"/>
    <w:rsid w:val="00263DED"/>
    <w:rsid w:val="00263EE4"/>
    <w:rsid w:val="00270615"/>
    <w:rsid w:val="0027096E"/>
    <w:rsid w:val="002807C4"/>
    <w:rsid w:val="00283D79"/>
    <w:rsid w:val="00293419"/>
    <w:rsid w:val="002A09BF"/>
    <w:rsid w:val="002C7E66"/>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B16DF5"/>
    <w:rsid w:val="00B22936"/>
    <w:rsid w:val="00B3748C"/>
    <w:rsid w:val="00B40A2D"/>
    <w:rsid w:val="00B41A87"/>
    <w:rsid w:val="00B51ADA"/>
    <w:rsid w:val="00B67AC0"/>
    <w:rsid w:val="00B7708F"/>
    <w:rsid w:val="00B77FED"/>
    <w:rsid w:val="00BA5224"/>
    <w:rsid w:val="00BB00DF"/>
    <w:rsid w:val="00BD35A3"/>
    <w:rsid w:val="00BD68BA"/>
    <w:rsid w:val="00BE1C38"/>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26FDB"/>
    <w:rsid w:val="00D4401B"/>
    <w:rsid w:val="00D6543B"/>
    <w:rsid w:val="00D7280D"/>
    <w:rsid w:val="00D96580"/>
    <w:rsid w:val="00DA62E6"/>
    <w:rsid w:val="00DB6EF1"/>
    <w:rsid w:val="00DD0235"/>
    <w:rsid w:val="00DD0DF8"/>
    <w:rsid w:val="00DE0379"/>
    <w:rsid w:val="00DE5EF5"/>
    <w:rsid w:val="00DE70D1"/>
    <w:rsid w:val="00E00AB5"/>
    <w:rsid w:val="00E02D1D"/>
    <w:rsid w:val="00E17072"/>
    <w:rsid w:val="00E414C2"/>
    <w:rsid w:val="00E63AE3"/>
    <w:rsid w:val="00E65910"/>
    <w:rsid w:val="00E76C89"/>
    <w:rsid w:val="00E967AA"/>
    <w:rsid w:val="00EC1CCE"/>
    <w:rsid w:val="00ED3EBB"/>
    <w:rsid w:val="00F35B41"/>
    <w:rsid w:val="00F3728E"/>
    <w:rsid w:val="00F44C98"/>
    <w:rsid w:val="00F45012"/>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18E69"/>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40</cp:revision>
  <cp:lastPrinted>2018-08-10T18:49:00Z</cp:lastPrinted>
  <dcterms:created xsi:type="dcterms:W3CDTF">2018-08-04T22:05:00Z</dcterms:created>
  <dcterms:modified xsi:type="dcterms:W3CDTF">2018-08-12T04:39:00Z</dcterms:modified>
</cp:coreProperties>
</file>