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pPr>
      <w:bookmarkStart w:colFirst="0" w:colLast="0" w:name="_rc4fogrnicc" w:id="0"/>
      <w:bookmarkEnd w:id="0"/>
      <w:r w:rsidDel="00000000" w:rsidR="00000000" w:rsidRPr="00000000">
        <w:rPr>
          <w:rFonts w:ascii="Open Sans" w:cs="Open Sans" w:eastAsia="Open Sans" w:hAnsi="Open Sans"/>
          <w:rtl w:val="0"/>
        </w:rPr>
        <w:t xml:space="preserve">Author Biography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John A. Ramey is Principal Data Scientist at Novi Labs, an Austin-based startup focused on optimizing oil and gas drilling and completion designs. He graduated in 2012 with a Ph.D. in Statistics from Baylor University and completed a postdoc at Fred Hutchinson Cancer Research Center.</w:t>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Caleb K. Stein earned BA from the University of Arkansas, earned an MS in Statistics and currently enrolled in PhD program at Baylor University. Stein's publications include investigations of gene expression and mutation calls from Multiple Myeloma patient data, batch effect correction, and clinical outcome analyses.</w:t>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Phil D. Young is Clinical Assistant Professor in the Department of Information Systems at Baylor University. He graduated with a Ph.D. in Statistics from Baylor University in 2009. His fields of interest include statistical pattern recognition and classification.</w:t>
      </w:r>
    </w:p>
    <w:p w:rsidR="00000000" w:rsidDel="00000000" w:rsidP="00000000" w:rsidRDefault="00000000" w:rsidRPr="00000000">
      <w:pPr>
        <w:numPr>
          <w:ilvl w:val="0"/>
          <w:numId w:val="1"/>
        </w:numPr>
        <w:spacing w:line="360" w:lineRule="auto"/>
        <w:ind w:left="720" w:hanging="360"/>
        <w:contextualSpacing w:val="1"/>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Dean M. Young is Professor of Statistics at Baylor University. His research interests include pattern recognition, multivariate analysis, and computational statistics.</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