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Russia's historical aggression and abuse of international norms</w:t>
      </w:r>
    </w:p>
    <w:p>
      <w:r>
        <w:rPr>
          <w:rFonts w:ascii="Calibri" w:hAnsi="Calibri"/>
          <w:b/>
          <w:sz w:val="26"/>
        </w:rPr>
        <w:t>None 'None</w:t>
      </w:r>
      <w:r>
        <w:rPr>
          <w:rFonts w:ascii="Calibri" w:hAnsi="Calibri"/>
          <w:b w:val="0"/>
          <w:sz w:val="22"/>
        </w:rPr>
        <w:t xml:space="preserve"> [None; None; None; Ukraine, Russia, and the Cold War and its Legacies: Resources from the American Historical Association | AHA; None; https://www.historians.org/ukraine-russia-resources; Accessed 06-19-2024; cut by AI] *double quotes converted to single quotes</w:t>
      </w:r>
    </w:p>
    <w:p>
      <w:r>
        <w:rPr>
          <w:rFonts w:ascii="Calibri" w:hAnsi="Calibri" w:eastAsia="Calibri" w:cs="Calibri"/>
          <w:b w:val="0"/>
          <w:sz w:val="16"/>
          <w:u w:val="none"/>
        </w:rPr>
        <w:t xml:space="preserve">In response to Russia’s invasion of Ukraine, we have compiled a list of AHA resources on the history of Ukraine, Russia, and the Cold War and its legacies. Teachers can use them in classrooms to help students understand the history of the present; journalists can draw on them to provide historical context for current events; researchers can draw on them to inform future scholarship.  The AHA released a statement </w:t>
      </w:r>
      <w:r>
        <w:rPr>
          <w:rFonts w:ascii="Calibri" w:hAnsi="Calibri"/>
          <w:b w:val="0"/>
          <w:sz w:val="22"/>
          <w:u w:val="single"/>
        </w:rPr>
        <w:t>“</w:t>
      </w:r>
      <w:r>
        <w:rPr>
          <w:rFonts w:ascii="Calibri" w:hAnsi="Calibri"/>
          <w:b w:val="0"/>
          <w:sz w:val="22"/>
          <w:highlight w:val="green"/>
          <w:u w:val="single"/>
        </w:rPr>
        <w:t>condemn</w:t>
      </w:r>
      <w:r>
        <w:rPr>
          <w:rFonts w:ascii="Calibri" w:hAnsi="Calibri"/>
          <w:b w:val="0"/>
          <w:sz w:val="22"/>
          <w:u w:val="single"/>
        </w:rPr>
        <w:t>[</w:t>
      </w:r>
      <w:r>
        <w:rPr>
          <w:rFonts w:ascii="Calibri" w:hAnsi="Calibri"/>
          <w:b w:val="0"/>
          <w:sz w:val="22"/>
          <w:highlight w:val="green"/>
          <w:u w:val="single"/>
        </w:rPr>
        <w:t>ing</w:t>
      </w:r>
      <w:r>
        <w:rPr>
          <w:rFonts w:ascii="Calibri" w:hAnsi="Calibri"/>
          <w:b w:val="0"/>
          <w:sz w:val="22"/>
          <w:u w:val="single"/>
        </w:rPr>
        <w:t xml:space="preserve">] </w:t>
      </w:r>
      <w:r>
        <w:rPr>
          <w:rFonts w:ascii="Calibri" w:hAnsi="Calibri"/>
          <w:b w:val="0"/>
          <w:sz w:val="22"/>
          <w:highlight w:val="green"/>
          <w:u w:val="single"/>
        </w:rPr>
        <w:t>in the strongest possible terms Russia’s recent invasion of Ukraine</w:t>
      </w:r>
      <w:r>
        <w:rPr>
          <w:rFonts w:ascii="Calibri" w:hAnsi="Calibri"/>
          <w:b w:val="0"/>
          <w:sz w:val="22"/>
          <w:u w:val="single"/>
        </w:rPr>
        <w:t>”</w:t>
      </w:r>
      <w:r>
        <w:rPr>
          <w:rFonts w:ascii="Calibri" w:hAnsi="Calibri" w:eastAsia="Calibri" w:cs="Calibri"/>
          <w:b w:val="0"/>
          <w:sz w:val="16"/>
          <w:u w:val="none"/>
        </w:rPr>
        <w:t xml:space="preserve"> and </w:t>
      </w:r>
      <w:r>
        <w:rPr>
          <w:rFonts w:ascii="Calibri" w:hAnsi="Calibri"/>
          <w:b w:val="0"/>
          <w:sz w:val="22"/>
          <w:u w:val="single"/>
        </w:rPr>
        <w:t xml:space="preserve">Russian President Vladimir </w:t>
      </w:r>
      <w:r>
        <w:rPr>
          <w:rFonts w:ascii="Calibri" w:hAnsi="Calibri"/>
          <w:b w:val="0"/>
          <w:sz w:val="22"/>
          <w:highlight w:val="green"/>
          <w:u w:val="single"/>
        </w:rPr>
        <w:t xml:space="preserve">Putin’s </w:t>
      </w:r>
      <w:r>
        <w:rPr>
          <w:rFonts w:ascii="Calibri" w:hAnsi="Calibri"/>
          <w:b w:val="0"/>
          <w:sz w:val="22"/>
          <w:u w:val="single"/>
        </w:rPr>
        <w:t xml:space="preserve">abuse of history as justification for the attack.“Putin’s </w:t>
      </w:r>
      <w:r>
        <w:rPr>
          <w:rFonts w:ascii="Calibri" w:hAnsi="Calibri"/>
          <w:b w:val="0"/>
          <w:sz w:val="22"/>
          <w:highlight w:val="green"/>
          <w:u w:val="single"/>
        </w:rPr>
        <w:t xml:space="preserve">rhetorical premise for this brutal violation of Ukraine’s sovereignty is anchored by a set of outlandish </w:t>
      </w:r>
      <w:r>
        <w:rPr>
          <w:rFonts w:ascii="Calibri" w:hAnsi="Calibri"/>
          <w:b/>
          <w:sz w:val="22"/>
          <w:highlight w:val="green"/>
          <w:u w:val="single"/>
        </w:rPr>
        <w:t>historical</w:t>
      </w:r>
      <w:r>
        <w:rPr>
          <w:rFonts w:ascii="Calibri" w:hAnsi="Calibri"/>
          <w:b w:val="0"/>
          <w:sz w:val="22"/>
          <w:highlight w:val="green"/>
          <w:u w:val="single"/>
        </w:rPr>
        <w:t xml:space="preserve"> claims, including an argument that Ukraine was entirely a Soviet creation</w:t>
      </w:r>
      <w:r>
        <w:rPr>
          <w:rFonts w:ascii="Calibri" w:hAnsi="Calibri"/>
          <w:b w:val="0"/>
          <w:sz w:val="22"/>
          <w:u w:val="single"/>
        </w:rPr>
        <w:t>,”</w:t>
      </w:r>
      <w:r>
        <w:rPr>
          <w:rFonts w:ascii="Calibri" w:hAnsi="Calibri" w:eastAsia="Calibri" w:cs="Calibri"/>
          <w:b w:val="0"/>
          <w:sz w:val="16"/>
          <w:u w:val="none"/>
        </w:rPr>
        <w:t xml:space="preserve"> the AHA wrote.</w:t>
      </w:r>
      <w:r>
        <w:rPr>
          <w:rFonts w:ascii="Calibri" w:hAnsi="Calibri"/>
          <w:b w:val="0"/>
          <w:sz w:val="22"/>
          <w:u w:val="single"/>
        </w:rPr>
        <w:t>“</w:t>
      </w:r>
      <w:r>
        <w:rPr>
          <w:rFonts w:ascii="Calibri" w:hAnsi="Calibri"/>
          <w:b w:val="0"/>
          <w:sz w:val="22"/>
          <w:highlight w:val="green"/>
          <w:u w:val="single"/>
        </w:rPr>
        <w:t xml:space="preserve">We vigorously support the Ukrainian nation and its people in their resistance to Russian military </w:t>
      </w:r>
      <w:r>
        <w:rPr>
          <w:rFonts w:ascii="Calibri" w:hAnsi="Calibri"/>
          <w:b/>
          <w:sz w:val="22"/>
          <w:highlight w:val="green"/>
          <w:u w:val="single"/>
        </w:rPr>
        <w:t>aggression</w:t>
      </w:r>
      <w:r>
        <w:rPr>
          <w:rFonts w:ascii="Calibri" w:hAnsi="Calibri"/>
          <w:b w:val="0"/>
          <w:sz w:val="22"/>
          <w:highlight w:val="green"/>
          <w:u w:val="single"/>
        </w:rPr>
        <w:t xml:space="preserve"> and the twisted mythology that President Putin has invented to justify his violation of international norms.</w:t>
      </w:r>
      <w:r>
        <w:rPr>
          <w:rFonts w:ascii="Calibri" w:hAnsi="Calibri"/>
          <w:b w:val="0"/>
          <w:sz w:val="22"/>
          <w:u w:val="single"/>
        </w:rPr>
        <w:t>”</w:t>
      </w:r>
      <w:r>
        <w:rPr>
          <w:rFonts w:ascii="Calibri" w:hAnsi="Calibri" w:eastAsia="Calibri" w:cs="Calibri"/>
          <w:b w:val="0"/>
          <w:sz w:val="16"/>
          <w:u w:val="none"/>
        </w:rPr>
        <w:t xml:space="preserve"> In March 2022, the AHA hosted a webinar about the conflict, “Russia and Ukraine: History Behind the Headlines.” You can view the full recording from the event on our YouTube channel.  The AHA’s Remote Teaching Resources compiles materials and tools to help historians develop courses and teach remotely in online and hybrid environments.  History Behind the Headlines is a webinar series featuring prominent historians discussing the history behind current events. Webinars in this series are generously sponsored by AHA member Jared Brubaker.  In response to ongoing racist violence in the United States, we have compiled a list of AHA resources on the history of racist violence. Teachers can use them in classrooms to help students understand the history of the present; journalists can draw on them to provide historical context for current events; researchers can draw on them to inform future scholarship.  Phone: 202.544.2422Email: info@historians.org 400 A Street SEWashington, DC 20003 Payments: PO Box 347214, Pittsburgh PA 15251-4214 © 2024 American Historical Association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