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98" w:rsidRPr="00EB52E0" w:rsidRDefault="005B199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B52E0">
        <w:rPr>
          <w:rFonts w:asciiTheme="majorBidi" w:hAnsiTheme="majorBidi" w:cstheme="majorBidi"/>
          <w:b/>
          <w:bCs/>
          <w:sz w:val="36"/>
          <w:szCs w:val="36"/>
        </w:rPr>
        <w:t>References</w:t>
      </w:r>
    </w:p>
    <w:bookmarkStart w:id="0" w:name="_Toc136903132" w:displacedByCustomXml="next"/>
    <w:sdt>
      <w:sdtPr>
        <w:rPr>
          <w:rFonts w:asciiTheme="minorHAnsi" w:eastAsiaTheme="minorEastAsia" w:hAnsiTheme="minorHAnsi" w:cstheme="minorBidi"/>
          <w:b w:val="0"/>
          <w:spacing w:val="0"/>
          <w:sz w:val="24"/>
          <w:szCs w:val="21"/>
          <w:lang w:val="fr-FR"/>
        </w:rPr>
        <w:id w:val="-1801296203"/>
        <w:docPartObj>
          <w:docPartGallery w:val="Bibliographies"/>
          <w:docPartUnique/>
        </w:docPartObj>
      </w:sdtPr>
      <w:sdtEndPr>
        <w:rPr>
          <w:rFonts w:eastAsiaTheme="minorHAnsi"/>
          <w:sz w:val="22"/>
          <w:szCs w:val="22"/>
          <w:lang w:val="en-US"/>
        </w:rPr>
      </w:sdtEndPr>
      <w:sdtContent>
        <w:bookmarkEnd w:id="0" w:displacedByCustomXml="next"/>
        <w:sdt>
          <w:sdtPr>
            <w:rPr>
              <w:rFonts w:asciiTheme="minorHAnsi" w:eastAsiaTheme="minorHAnsi" w:hAnsiTheme="minorHAnsi" w:cstheme="minorBidi"/>
              <w:b w:val="0"/>
              <w:spacing w:val="0"/>
              <w:sz w:val="22"/>
              <w:szCs w:val="22"/>
              <w:lang w:val="fr-FR"/>
            </w:rPr>
            <w:id w:val="111145805"/>
            <w:bibliography/>
          </w:sdtPr>
          <w:sdtEndPr>
            <w:rPr>
              <w:lang w:val="en-US"/>
            </w:rPr>
          </w:sdtEndPr>
          <w:sdtContent>
            <w:p w:rsidR="005B1999" w:rsidRPr="001D738A" w:rsidRDefault="005B1999" w:rsidP="001D738A">
              <w:pPr>
                <w:pStyle w:val="Titre1"/>
                <w:numPr>
                  <w:ilvl w:val="0"/>
                  <w:numId w:val="0"/>
                </w:numPr>
                <w:ind w:left="360" w:hanging="360"/>
                <w:rPr>
                  <w:rFonts w:asciiTheme="minorHAnsi" w:hAnsiTheme="minorHAnsi"/>
                  <w:noProof/>
                  <w:sz w:val="21"/>
                  <w:lang w:val="fr-FR"/>
                </w:rPr>
              </w:pPr>
              <w:r w:rsidRPr="00FB73E2">
                <w:rPr>
                  <w:b w:val="0"/>
                </w:rPr>
                <w:fldChar w:fldCharType="begin"/>
              </w:r>
              <w:r w:rsidRPr="00FB73E2">
                <w:instrText>BIBLIOGRAPHY</w:instrText>
              </w:r>
              <w:r w:rsidRPr="00FB73E2">
                <w:rPr>
                  <w:b w:val="0"/>
                </w:rPr>
                <w:fldChar w:fldCharType="separate"/>
              </w:r>
            </w:p>
            <w:tbl>
              <w:tblPr>
                <w:tblW w:w="5425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63"/>
                <w:gridCol w:w="9392"/>
              </w:tblGrid>
              <w:tr w:rsidR="005B1999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OWASP, "Top 10 Web Application Security Risks," 2021. [Online]. Available: https://owasp.org/www-project-top-ten/.</w:t>
                    </w:r>
                  </w:p>
                </w:tc>
              </w:tr>
              <w:tr w:rsidR="005B1999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OWASP, "SQL Injection," 2023. [Online]. Available: https://owasp.org/www-community/attacks/SQL_Injection.</w:t>
                    </w:r>
                  </w:p>
                </w:tc>
              </w:tr>
              <w:tr w:rsidR="005B1999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Researchgate, "Web Application Security by SQL Injection DetectionTools," 2012.</w:t>
                    </w:r>
                  </w:p>
                </w:tc>
              </w:tr>
              <w:tr w:rsidR="005B1999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Clarke-Salt, SQL Injection Attacks and Defense, 2012. </w:t>
                    </w:r>
                  </w:p>
                </w:tc>
              </w:tr>
              <w:tr w:rsidR="005B1999" w:rsidRPr="0066519E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  <w:lang w:val="fr-FR"/>
                      </w:rPr>
                    </w:pPr>
                    <w:r>
                      <w:rPr>
                        <w:noProof/>
                        <w:lang w:val="fr-FR"/>
                      </w:rPr>
                      <w:t>OWASP, «Blind SQL Injection,» 2023. [En ligne]. Available: https://owasp.org/www-community/attacks/Blind_SQL_Injection.</w:t>
                    </w:r>
                  </w:p>
                </w:tc>
              </w:tr>
              <w:tr w:rsidR="005B1999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M. P. Dafydd, The Web Application Hacker's Handbook: Finding and Exploiting Security Flaws, 2011. </w:t>
                    </w:r>
                  </w:p>
                </w:tc>
              </w:tr>
              <w:tr w:rsidR="005B1999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999" w:rsidRDefault="005B1999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Positive Technologies, "how-to-prevent-sql-injection-attacks," Augest 2019. [Online]. Available: https://www.ptsecurity.com/ww-en/analytics/knowledge-base/how-to-prevent-sql-injection-attacks.</w:t>
                    </w:r>
                  </w:p>
                </w:tc>
              </w:tr>
              <w:tr w:rsidR="00E61CE1" w:rsidRPr="00224537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P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224537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T. T. R. &amp;. F. J. Hastie, The elements of statistical learning: data mining, inference, and prediction (2nd ed.), 2009. </w:t>
                    </w:r>
                  </w:p>
                </w:tc>
              </w:tr>
              <w:tr w:rsidR="00E61CE1" w:rsidRPr="00224537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224537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C. M. Bishop, Pattern recognition and machine learning, 2006. </w:t>
                    </w:r>
                  </w:p>
                </w:tc>
              </w:tr>
              <w:tr w:rsidR="00E61CE1" w:rsidRPr="00224537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224537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R. S. &amp;. B. A. G. Sutton, "Reinforcement learning: an introduction (2nd ed.)," in </w:t>
                    </w:r>
                    <w:r w:rsidRPr="00E61CE1">
                      <w:rPr>
                        <w:noProof/>
                      </w:rPr>
                      <w:t>MIT Press</w:t>
                    </w:r>
                    <w:r w:rsidRPr="00224537">
                      <w:rPr>
                        <w:noProof/>
                      </w:rPr>
                      <w:t xml:space="preserve">, 2018. </w:t>
                    </w:r>
                  </w:p>
                </w:tc>
              </w:tr>
              <w:tr w:rsidR="00E61CE1" w:rsidRPr="00224537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224537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I. B. Y. &amp;. C. A. Goodfellow, "Deep learning," in </w:t>
                    </w:r>
                    <w:r w:rsidRPr="00E61CE1">
                      <w:rPr>
                        <w:noProof/>
                      </w:rPr>
                      <w:t>MIT Press</w:t>
                    </w:r>
                    <w:r w:rsidRPr="00224537"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E61CE1" w:rsidRPr="00224537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224537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M. A. Nielsen, "Neural Networks and Deep Learning," in </w:t>
                    </w:r>
                    <w:r w:rsidRPr="00E61CE1">
                      <w:rPr>
                        <w:noProof/>
                      </w:rPr>
                      <w:t>Determination Press</w:t>
                    </w:r>
                    <w:r w:rsidRPr="00224537">
                      <w:rPr>
                        <w:noProof/>
                      </w:rPr>
                      <w:t xml:space="preserve">, 2015. 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A. Graves, "Generating Sequences With Recurrent Neural Networks," 2013. </w:t>
                    </w:r>
                    <w:r>
                      <w:rPr>
                        <w:noProof/>
                      </w:rPr>
                      <w:t>[Online]. Available: https://ui.adsabs.harvard.edu/abs/2013arXiv1308.0850G/abstract.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J. G. C. C. K. &amp;. B. Y. Chung, "Empirical evaluation of gated recurrent neural networks on sequence modeling," 2014. </w:t>
                    </w:r>
                    <w:r>
                      <w:rPr>
                        <w:noProof/>
                      </w:rPr>
                      <w:t>[Online]. Available: https://nyuscholars.nyu.edu/en/publications/empirical-evaluation-of-gated-recurrent-neural-networks-on-sequen.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S. &amp;. S. J. Hochreiter, "Long short-term memory. </w:t>
                    </w:r>
                    <w:r>
                      <w:rPr>
                        <w:noProof/>
                      </w:rPr>
                      <w:t xml:space="preserve">Neural computation.," </w:t>
                    </w:r>
                    <w:r w:rsidRPr="00E61CE1">
                      <w:rPr>
                        <w:noProof/>
                      </w:rPr>
                      <w:t xml:space="preserve">MIT Press, </w:t>
                    </w:r>
                    <w:r>
                      <w:rPr>
                        <w:noProof/>
                      </w:rPr>
                      <w:t xml:space="preserve">1997. </w:t>
                    </w:r>
                  </w:p>
                </w:tc>
              </w:tr>
              <w:tr w:rsidR="00E61CE1" w:rsidRPr="00224537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224537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224537">
                      <w:rPr>
                        <w:noProof/>
                      </w:rPr>
                      <w:t xml:space="preserve">A. Graves, Supervised sequence labelling with recurrent neural networks, 2012. </w:t>
                    </w:r>
                  </w:p>
                </w:tc>
              </w:tr>
              <w:tr w:rsidR="00E61CE1" w:rsidRPr="00224537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224537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V. M. B. G. C. B. D. B. F. S. H. &amp;. </w:t>
                    </w:r>
                    <w:r w:rsidRPr="00224537">
                      <w:rPr>
                        <w:noProof/>
                      </w:rPr>
                      <w:t xml:space="preserve">B. Y. Cho, Learning phrase representations using RNN encoder-decoder for statistical machine translation, 2014. 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E61CE1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S. N. P. N. U. J. J. L. G. A. N. .. </w:t>
                    </w:r>
                    <w:r w:rsidRPr="00224537">
                      <w:rPr>
                        <w:noProof/>
                      </w:rPr>
                      <w:t xml:space="preserve">&amp;. P. I. Vaswani, "Attention is all you need," 2017. </w:t>
                    </w:r>
                    <w:r>
                      <w:rPr>
                        <w:noProof/>
                      </w:rPr>
                      <w:t>[Online]. Available: https://proceedings.neurips.cc/paper_files/paper/2017/file/3f5ee243547dee91fbd053c1c4a845aa-Paper.pdf.</w:t>
                    </w:r>
                  </w:p>
                </w:tc>
              </w:tr>
              <w:tr w:rsidR="00E61CE1" w:rsidRPr="00813E1F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P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E61CE1"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813E1F" w:rsidRDefault="00E61CE1" w:rsidP="00E61CE1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 w:rsidRPr="00813E1F">
                      <w:rPr>
                        <w:noProof/>
                      </w:rPr>
                      <w:t xml:space="preserve">M.-W. C. K. L. a. K. T. Jacob Devlin, BERT: Pre-training of Deep Bidirectional Transformers for Language Understanding, Volume 1 (Long and Short Papers), 2019. </w:t>
                    </w:r>
                  </w:p>
                </w:tc>
              </w:tr>
              <w:tr w:rsidR="00E61CE1" w:rsidRPr="00813E1F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P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 w:rsidRPr="00E61CE1">
                      <w:rPr>
                        <w:noProof/>
                      </w:rPr>
                      <w:lastRenderedPageBreak/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Pr="00813E1F" w:rsidRDefault="00E61CE1" w:rsidP="00E61CE1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 w:rsidRPr="00813E1F">
                      <w:rPr>
                        <w:noProof/>
                      </w:rPr>
                      <w:t xml:space="preserve">H. Z. X. H. a. J. Z. Yan Zhang, Benchmarking Neural Network Models for SQL Injection Detection, 2020. 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E61CE1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Géron, Hands-On Machine Learning with Scikit-Learn, Keras, and TensorFlow Concepts, Tools, and Techniques to Build Intelligent Systems, O'Reilly Media, 2019. 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E61CE1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&amp;. M. V. Raschka, Python Machine Learning: Machine Learning and Deep Learning with Python, Packt Publishing, 2019. 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E61CE1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R.-K. B. P. F. G. B. E. B. M. F. J. Kluyver, Jupyter Notebooks—a publishing format for reproducible computational workflows, In ELPUB, 2016. 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DF3640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T. A. &amp;. H. J. D. Rule, Rapid prototyping interactive data visualizations with Jupyter notebooks, IEEE transactions on visualization and computer graphics, 2018. </w:t>
                    </w:r>
                  </w:p>
                </w:tc>
              </w:tr>
              <w:tr w:rsidR="00E61CE1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E61CE1" w:rsidRDefault="00E61CE1" w:rsidP="00E61CE1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61CE1" w:rsidRDefault="00E61CE1" w:rsidP="00DF3640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"Kaggle," 2023. [Online]. Available: https://www.kaggle.com/datasets/syedsaqlainhussain/sql-injection-dataset.</w:t>
                    </w:r>
                  </w:p>
                </w:tc>
              </w:tr>
              <w:tr w:rsidR="00AB4B1E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AB4B1E" w:rsidRPr="00AB4B1E" w:rsidRDefault="00AB4B1E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B4B1E" w:rsidRDefault="00AB4B1E" w:rsidP="00AB4B1E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&amp;. L. G. Sokolova, A systematic analysis of performance measures for classification tasks, 2009. </w:t>
                    </w:r>
                  </w:p>
                </w:tc>
              </w:tr>
              <w:tr w:rsidR="00AB4B1E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AB4B1E" w:rsidRDefault="00AB4B1E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B4B1E" w:rsidRDefault="00AB4B1E" w:rsidP="00AB4B1E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M. Powers, "Evaluation: From precision, recall and F-measure to ROC, informedness, markedness and correlation," </w:t>
                    </w:r>
                    <w:r w:rsidRPr="00AB4B1E">
                      <w:rPr>
                        <w:noProof/>
                      </w:rPr>
                      <w:t xml:space="preserve">Journal of Machine Learning Technologies, </w:t>
                    </w:r>
                    <w:r>
                      <w:rPr>
                        <w:noProof/>
                      </w:rPr>
                      <w:t xml:space="preserve">2011. </w:t>
                    </w:r>
                  </w:p>
                </w:tc>
              </w:tr>
              <w:tr w:rsidR="00AB4B1E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AB4B1E" w:rsidRDefault="00AB4B1E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B4B1E" w:rsidRDefault="00AB4B1E" w:rsidP="00AB4B1E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J. Van Rijsbergen, Information Retrieval (2nd ed), 1979. </w:t>
                    </w:r>
                  </w:p>
                </w:tc>
              </w:tr>
              <w:tr w:rsidR="00AB4B1E" w:rsidTr="00AB4B1E">
                <w:trPr>
                  <w:tblCellSpacing w:w="15" w:type="dxa"/>
                </w:trPr>
                <w:tc>
                  <w:tcPr>
                    <w:tcW w:w="353" w:type="pct"/>
                    <w:hideMark/>
                  </w:tcPr>
                  <w:p w:rsidR="00AB4B1E" w:rsidRDefault="00AB4B1E" w:rsidP="00DF3640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B4B1E" w:rsidRDefault="00AB4B1E" w:rsidP="00AB4B1E">
                    <w:pPr>
                      <w:pStyle w:val="Bibliographie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L. a. A. Gundawar, SQL Injection and Its Detection Using Machine Learning Algorithms, 2023. </w:t>
                    </w:r>
                  </w:p>
                </w:tc>
              </w:tr>
            </w:tbl>
            <w:p w:rsidR="005B1999" w:rsidRDefault="005B1999" w:rsidP="005B1999">
              <w:pPr>
                <w:rPr>
                  <w:rFonts w:eastAsia="Times New Roman"/>
                  <w:noProof/>
                </w:rPr>
              </w:pPr>
            </w:p>
            <w:p w:rsidR="005B1999" w:rsidRPr="00AB4B1E" w:rsidRDefault="005B1999" w:rsidP="0066519E">
              <w:pPr>
                <w:rPr>
                  <w:rFonts w:asciiTheme="majorBidi" w:hAnsiTheme="majorBidi" w:cstheme="majorBidi"/>
                  <w:sz w:val="36"/>
                  <w:szCs w:val="36"/>
                </w:rPr>
              </w:pPr>
              <w:r w:rsidRPr="00FB73E2"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bookmarkStart w:id="1" w:name="_GoBack" w:displacedByCustomXml="prev"/>
    <w:bookmarkEnd w:id="1" w:displacedByCustomXml="prev"/>
    <w:sectPr w:rsidR="005B1999" w:rsidRPr="00AB4B1E" w:rsidSect="00DA17DE">
      <w:footerReference w:type="default" r:id="rId8"/>
      <w:pgSz w:w="11907" w:h="16839" w:code="9"/>
      <w:pgMar w:top="1440" w:right="1440" w:bottom="1440" w:left="1440" w:header="720" w:footer="720" w:gutter="0"/>
      <w:pgNumType w:start="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12B" w:rsidRDefault="00F0112B" w:rsidP="00AB4B1E">
      <w:pPr>
        <w:spacing w:after="0" w:line="240" w:lineRule="auto"/>
      </w:pPr>
      <w:r>
        <w:separator/>
      </w:r>
    </w:p>
  </w:endnote>
  <w:endnote w:type="continuationSeparator" w:id="0">
    <w:p w:rsidR="00F0112B" w:rsidRDefault="00F0112B" w:rsidP="00AB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lang w:val="fr-FR"/>
      </w:rPr>
      <w:id w:val="1142001262"/>
      <w:docPartObj>
        <w:docPartGallery w:val="Page Numbers (Bottom of Page)"/>
        <w:docPartUnique/>
      </w:docPartObj>
    </w:sdtPr>
    <w:sdtEndPr/>
    <w:sdtContent>
      <w:p w:rsidR="00AB4B1E" w:rsidRPr="00A25889" w:rsidRDefault="00AB4B1E">
        <w:pPr>
          <w:pStyle w:val="Pieddepage"/>
          <w:jc w:val="right"/>
          <w:rPr>
            <w:rFonts w:asciiTheme="majorBidi" w:hAnsiTheme="majorBidi" w:cstheme="majorBidi"/>
          </w:rPr>
        </w:pPr>
        <w:r w:rsidRPr="00A25889">
          <w:rPr>
            <w:rFonts w:asciiTheme="majorBidi" w:hAnsiTheme="majorBidi" w:cstheme="majorBidi"/>
            <w:lang w:val="fr-FR"/>
          </w:rPr>
          <w:t xml:space="preserve">Page | </w:t>
        </w:r>
        <w:r w:rsidRPr="00A25889">
          <w:rPr>
            <w:rFonts w:asciiTheme="majorBidi" w:hAnsiTheme="majorBidi" w:cstheme="majorBidi"/>
          </w:rPr>
          <w:fldChar w:fldCharType="begin"/>
        </w:r>
        <w:r w:rsidRPr="00A25889">
          <w:rPr>
            <w:rFonts w:asciiTheme="majorBidi" w:hAnsiTheme="majorBidi" w:cstheme="majorBidi"/>
          </w:rPr>
          <w:instrText>PAGE   \* MERGEFORMAT</w:instrText>
        </w:r>
        <w:r w:rsidRPr="00A25889">
          <w:rPr>
            <w:rFonts w:asciiTheme="majorBidi" w:hAnsiTheme="majorBidi" w:cstheme="majorBidi"/>
          </w:rPr>
          <w:fldChar w:fldCharType="separate"/>
        </w:r>
        <w:r w:rsidR="0066519E" w:rsidRPr="0066519E">
          <w:rPr>
            <w:rFonts w:asciiTheme="majorBidi" w:hAnsiTheme="majorBidi" w:cstheme="majorBidi"/>
            <w:noProof/>
            <w:lang w:val="fr-FR"/>
          </w:rPr>
          <w:t>70</w:t>
        </w:r>
        <w:r w:rsidRPr="00A25889">
          <w:rPr>
            <w:rFonts w:asciiTheme="majorBidi" w:hAnsiTheme="majorBidi" w:cstheme="majorBidi"/>
          </w:rPr>
          <w:fldChar w:fldCharType="end"/>
        </w:r>
        <w:r w:rsidRPr="00A25889">
          <w:rPr>
            <w:rFonts w:asciiTheme="majorBidi" w:hAnsiTheme="majorBidi" w:cstheme="majorBidi"/>
            <w:lang w:val="fr-FR"/>
          </w:rPr>
          <w:t xml:space="preserve"> </w:t>
        </w:r>
      </w:p>
    </w:sdtContent>
  </w:sdt>
  <w:p w:rsidR="00AB4B1E" w:rsidRDefault="00AB4B1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12B" w:rsidRDefault="00F0112B" w:rsidP="00AB4B1E">
      <w:pPr>
        <w:spacing w:after="0" w:line="240" w:lineRule="auto"/>
      </w:pPr>
      <w:r>
        <w:separator/>
      </w:r>
    </w:p>
  </w:footnote>
  <w:footnote w:type="continuationSeparator" w:id="0">
    <w:p w:rsidR="00F0112B" w:rsidRDefault="00F0112B" w:rsidP="00AB4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30834"/>
    <w:multiLevelType w:val="multilevel"/>
    <w:tmpl w:val="63BA474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6E"/>
    <w:rsid w:val="001B5E33"/>
    <w:rsid w:val="001D738A"/>
    <w:rsid w:val="00230860"/>
    <w:rsid w:val="003130E3"/>
    <w:rsid w:val="0036724A"/>
    <w:rsid w:val="005B1999"/>
    <w:rsid w:val="0066519E"/>
    <w:rsid w:val="0082127A"/>
    <w:rsid w:val="008A7705"/>
    <w:rsid w:val="00A25889"/>
    <w:rsid w:val="00AA02AE"/>
    <w:rsid w:val="00AB456E"/>
    <w:rsid w:val="00AB4B1E"/>
    <w:rsid w:val="00B743C7"/>
    <w:rsid w:val="00C106E8"/>
    <w:rsid w:val="00DA17DE"/>
    <w:rsid w:val="00DD3CE4"/>
    <w:rsid w:val="00E61CE1"/>
    <w:rsid w:val="00EB52E0"/>
    <w:rsid w:val="00EF3DB4"/>
    <w:rsid w:val="00F0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D2168-0BE4-4408-81D6-A6D373BA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5B1999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Bidi" w:eastAsiaTheme="majorEastAsia" w:hAnsiTheme="majorBidi" w:cstheme="majorBidi"/>
      <w:b/>
      <w:spacing w:val="10"/>
      <w:sz w:val="40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1999"/>
    <w:pPr>
      <w:keepNext/>
      <w:keepLines/>
      <w:numPr>
        <w:ilvl w:val="1"/>
        <w:numId w:val="1"/>
      </w:numPr>
      <w:spacing w:before="240" w:after="240" w:line="240" w:lineRule="auto"/>
      <w:jc w:val="both"/>
      <w:outlineLvl w:val="1"/>
    </w:pPr>
    <w:rPr>
      <w:rFonts w:asciiTheme="majorBidi" w:eastAsiaTheme="majorEastAsia" w:hAnsiTheme="majorBidi" w:cstheme="majorBidi"/>
      <w:b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1999"/>
    <w:pPr>
      <w:keepNext/>
      <w:keepLines/>
      <w:numPr>
        <w:ilvl w:val="2"/>
        <w:numId w:val="1"/>
      </w:numPr>
      <w:spacing w:before="200" w:after="120" w:line="240" w:lineRule="auto"/>
      <w:jc w:val="both"/>
      <w:outlineLvl w:val="2"/>
    </w:pPr>
    <w:rPr>
      <w:rFonts w:asciiTheme="majorBidi" w:eastAsiaTheme="majorEastAsia" w:hAnsiTheme="majorBidi" w:cstheme="majorBidi"/>
      <w:b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B1999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Theme="majorBidi" w:eastAsiaTheme="majorEastAsia" w:hAnsiTheme="majorBidi" w:cstheme="majorBidi"/>
      <w:b/>
      <w:iCs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1999"/>
    <w:pPr>
      <w:keepNext/>
      <w:keepLines/>
      <w:numPr>
        <w:ilvl w:val="4"/>
        <w:numId w:val="1"/>
      </w:numPr>
      <w:spacing w:before="80" w:after="0" w:line="240" w:lineRule="auto"/>
      <w:jc w:val="both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1999"/>
    <w:pPr>
      <w:keepNext/>
      <w:keepLines/>
      <w:numPr>
        <w:ilvl w:val="5"/>
        <w:numId w:val="1"/>
      </w:numPr>
      <w:spacing w:before="8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1999"/>
    <w:pPr>
      <w:keepNext/>
      <w:keepLines/>
      <w:numPr>
        <w:ilvl w:val="6"/>
        <w:numId w:val="1"/>
      </w:numPr>
      <w:spacing w:before="80" w:after="0" w:line="240" w:lineRule="auto"/>
      <w:jc w:val="both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1999"/>
    <w:pPr>
      <w:keepNext/>
      <w:keepLines/>
      <w:numPr>
        <w:ilvl w:val="7"/>
        <w:numId w:val="1"/>
      </w:numPr>
      <w:spacing w:before="80" w:after="0" w:line="240" w:lineRule="auto"/>
      <w:jc w:val="both"/>
      <w:outlineLvl w:val="7"/>
    </w:pPr>
    <w:rPr>
      <w:rFonts w:asciiTheme="majorHAnsi" w:eastAsiaTheme="majorEastAsia" w:hAnsiTheme="majorHAnsi" w:cstheme="majorBidi"/>
      <w:caps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1999"/>
    <w:pPr>
      <w:keepNext/>
      <w:keepLines/>
      <w:numPr>
        <w:ilvl w:val="8"/>
        <w:numId w:val="1"/>
      </w:numPr>
      <w:spacing w:before="8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ap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1999"/>
    <w:rPr>
      <w:rFonts w:asciiTheme="majorBidi" w:eastAsiaTheme="majorEastAsia" w:hAnsiTheme="majorBidi" w:cstheme="majorBidi"/>
      <w:b/>
      <w:spacing w:val="10"/>
      <w:sz w:val="40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B1999"/>
    <w:rPr>
      <w:rFonts w:asciiTheme="majorBidi" w:eastAsiaTheme="majorEastAsia" w:hAnsiTheme="majorBidi" w:cstheme="majorBidi"/>
      <w:b/>
      <w:sz w:val="32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5B1999"/>
    <w:rPr>
      <w:rFonts w:asciiTheme="majorBidi" w:eastAsiaTheme="majorEastAsia" w:hAnsiTheme="majorBidi" w:cstheme="majorBidi"/>
      <w:b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B1999"/>
    <w:rPr>
      <w:rFonts w:asciiTheme="majorBidi" w:eastAsiaTheme="majorEastAsia" w:hAnsiTheme="majorBidi" w:cstheme="majorBidi"/>
      <w:b/>
      <w:iCs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B199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B199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B199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B1999"/>
    <w:rPr>
      <w:rFonts w:asciiTheme="majorHAnsi" w:eastAsiaTheme="majorEastAsia" w:hAnsiTheme="majorHAnsi" w:cstheme="majorBidi"/>
      <w:caps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B1999"/>
    <w:rPr>
      <w:rFonts w:asciiTheme="majorHAnsi" w:eastAsiaTheme="majorEastAsia" w:hAnsiTheme="majorHAnsi" w:cstheme="majorBidi"/>
      <w:i/>
      <w:iCs/>
      <w:caps/>
      <w:sz w:val="24"/>
      <w:szCs w:val="21"/>
    </w:rPr>
  </w:style>
  <w:style w:type="paragraph" w:styleId="Bibliographie">
    <w:name w:val="Bibliography"/>
    <w:basedOn w:val="Normal"/>
    <w:next w:val="Normal"/>
    <w:uiPriority w:val="37"/>
    <w:unhideWhenUsed/>
    <w:rsid w:val="005B1999"/>
    <w:pPr>
      <w:spacing w:before="240" w:after="240" w:line="360" w:lineRule="auto"/>
      <w:ind w:firstLine="288"/>
      <w:jc w:val="both"/>
    </w:pPr>
    <w:rPr>
      <w:rFonts w:asciiTheme="majorBidi" w:eastAsiaTheme="minorEastAsia" w:hAnsiTheme="majorBidi"/>
      <w:sz w:val="24"/>
      <w:szCs w:val="21"/>
    </w:rPr>
  </w:style>
  <w:style w:type="paragraph" w:styleId="En-tte">
    <w:name w:val="header"/>
    <w:basedOn w:val="Normal"/>
    <w:link w:val="En-tteCar"/>
    <w:uiPriority w:val="99"/>
    <w:unhideWhenUsed/>
    <w:rsid w:val="00AB4B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4B1E"/>
  </w:style>
  <w:style w:type="paragraph" w:styleId="Pieddepage">
    <w:name w:val="footer"/>
    <w:basedOn w:val="Normal"/>
    <w:link w:val="PieddepageCar"/>
    <w:uiPriority w:val="99"/>
    <w:unhideWhenUsed/>
    <w:rsid w:val="00AB4B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OWA23</b:Tag>
    <b:SourceType>InternetSite</b:SourceType>
    <b:Guid>{2920A6A3-7AF5-4DEA-B39F-4BDF90F5C309}</b:Guid>
    <b:Author>
      <b:Author>
        <b:Corporate>OWASP</b:Corporate>
      </b:Author>
    </b:Author>
    <b:Title>SQL Injection</b:Title>
    <b:InternetSiteTitle>https://owasp.org/</b:InternetSiteTitle>
    <b:Year>2023</b:Year>
    <b:URL>https://owasp.org/www-community/attacks/SQL_Injection</b:URL>
    <b:LCID>en-US</b:LCID>
    <b:RefOrder>2</b:RefOrder>
  </b:Source>
  <b:Source>
    <b:Tag>OWA21</b:Tag>
    <b:SourceType>InternetSite</b:SourceType>
    <b:Guid>{8A506B78-FED1-438B-BAE7-8A777C0F53D8}</b:Guid>
    <b:Author>
      <b:Author>
        <b:Corporate>OWASP</b:Corporate>
      </b:Author>
    </b:Author>
    <b:Title>Top 10 Web Application Security Risks</b:Title>
    <b:Year>2021</b:Year>
    <b:URL>https://owasp.org/www-project-top-ten/</b:URL>
    <b:LCID>en-US</b:LCID>
    <b:RefOrder>1</b:RefOrder>
  </b:Source>
  <b:Source>
    <b:Tag>Web</b:Tag>
    <b:SourceType>ElectronicSource</b:SourceType>
    <b:Guid>{2EF87735-B503-4C6F-926B-0CB65108A321}</b:Guid>
    <b:Title>Web Application Security by SQL Injection DetectionTools</b:Title>
    <b:Author>
      <b:Author>
        <b:NameList>
          <b:Person>
            <b:Last>Researchgate</b:Last>
          </b:Person>
        </b:NameList>
      </b:Author>
    </b:Author>
    <b:InternetSiteTitle>www.researchgate.net</b:InternetSiteTitle>
    <b:LCID>en-US</b:LCID>
    <b:Year>2012</b:Year>
    <b:Month>Mars</b:Month>
    <b:URL>https://www.researchgate.net/publication/265947554</b:URL>
    <b:RefOrder>3</b:RefOrder>
  </b:Source>
  <b:Source xmlns:b="http://schemas.openxmlformats.org/officeDocument/2006/bibliography">
    <b:Tag>Pin</b:Tag>
    <b:SourceType>Book</b:SourceType>
    <b:Guid>{DA00596B-E550-4BE3-A198-B90B28123314}</b:Guid>
    <b:Title>The Web Application Hacker's Handbook: Finding and Exploiting Security Flaws</b:Title>
    <b:LCID>en-US</b:LCID>
    <b:Author>
      <b:Author>
        <b:NameList>
          <b:Person>
            <b:Last>Dafydd</b:Last>
            <b:First>Stittard</b:First>
            <b:Middle>Marcos Pinto</b:Middle>
          </b:Person>
        </b:NameList>
      </b:Author>
    </b:Author>
    <b:Year>2011</b:Year>
    <b:RefOrder>6</b:RefOrder>
  </b:Source>
  <b:Source>
    <b:Tag>OWA231</b:Tag>
    <b:SourceType>InternetSite</b:SourceType>
    <b:Guid>{89C7A728-D499-46F8-8D7F-E55E3F897A92}</b:Guid>
    <b:Author>
      <b:Author>
        <b:Corporate>OWASP</b:Corporate>
      </b:Author>
    </b:Author>
    <b:Title>Blind SQL Injection</b:Title>
    <b:Year>2023</b:Year>
    <b:InternetSiteTitle>https://owasp.org/</b:InternetSiteTitle>
    <b:URL>https://owasp.org/www-community/attacks/Blind_SQL_Injection</b:URL>
    <b:LCID>fr-FR</b:LCID>
    <b:RefOrder>5</b:RefOrder>
  </b:Source>
  <b:Source>
    <b:Tag>Pos19</b:Tag>
    <b:SourceType>InternetSite</b:SourceType>
    <b:Guid>{0FB5A2F4-2812-41B6-A743-48895C8772A4}</b:Guid>
    <b:Title>how-to-prevent-sql-injection-attacks</b:Title>
    <b:Year>2019</b:Year>
    <b:Author>
      <b:Author>
        <b:Corporate>Positive Technologies</b:Corporate>
      </b:Author>
    </b:Author>
    <b:InternetSiteTitle>www.ptsecurity.com</b:InternetSiteTitle>
    <b:Month>Augest</b:Month>
    <b:URL>https://www.ptsecurity.com/ww-en/analytics/knowledge-base/how-to-prevent-sql-injection-attacks</b:URL>
    <b:LCID>en-US</b:LCID>
    <b:RefOrder>7</b:RefOrder>
  </b:Source>
  <b:Source>
    <b:Tag>Jus</b:Tag>
    <b:SourceType>Book</b:SourceType>
    <b:Guid>{CAEB3538-A2A5-4D79-BA68-8079932DC548}</b:Guid>
    <b:Author>
      <b:Author>
        <b:NameList>
          <b:Person>
            <b:Last>Clarke-Salt</b:Last>
            <b:First>Justin</b:First>
          </b:Person>
        </b:NameList>
      </b:Author>
    </b:Author>
    <b:Title>SQL Injection Attacks and Defense</b:Title>
    <b:Year>2012</b:Year>
    <b:LCID>en-US</b:LCID>
    <b:RefOrder>4</b:RefOrder>
  </b:Source>
</b:Sources>
</file>

<file path=customXml/itemProps1.xml><?xml version="1.0" encoding="utf-8"?>
<ds:datastoreItem xmlns:ds="http://schemas.openxmlformats.org/officeDocument/2006/customXml" ds:itemID="{23CCDFA4-E196-4393-BF3A-6F06D6A9B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Metal_fuel</dc:creator>
  <cp:keywords/>
  <dc:description/>
  <cp:lastModifiedBy>nassim Metal_fuel</cp:lastModifiedBy>
  <cp:revision>8</cp:revision>
  <dcterms:created xsi:type="dcterms:W3CDTF">2023-06-06T00:54:00Z</dcterms:created>
  <dcterms:modified xsi:type="dcterms:W3CDTF">2023-06-13T23:25:00Z</dcterms:modified>
</cp:coreProperties>
</file>