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Journal de travail : BPRI.ExceptionHandling et LogsPlatform</w:t>
      </w:r>
    </w:p>
    <w:p>
      <w:pPr/>
      <w:r>
        <w:t xml:space="preserve">Sep 30, 2026</w:t>
      </w:r>
      <w:r>
        <w:t xml:space="preserve"> · </w:t>
      </w:r>
      <w:r>
        <w:t xml:space="preserve">@Rami</w:t>
      </w:r>
    </w:p>
    <w:p>
      <w:pPr/>
      <w:r>
        <w:t xml:space="preserve">Une seule bibliothèque NuGet (Serilog) gère les exceptions et les logs de tes API, avec le cprj et les infos JWT, et une plateforme Angular lit la base des logs.</w:t>
      </w:r>
    </w:p>
    <w:p>
      <w:pPr>
        <w:pStyle w:val="Heading2"/>
      </w:pPr>
      <w:r>
        <w:t xml:space="preserve">Étape 1 : un seul projet Serilog</w:t>
      </w:r>
    </w:p>
    <w:p>
      <w:pPr/>
      <w:r>
        <w:t xml:space="preserve">La première version avait trois projets (dont MailKit et EntityFrameworkCore) et beaucoup de code. Elle a été remplacée par un seul projet, </w:t>
      </w:r>
      <w:r>
        <w:rPr>
          <w:rStyle w:val="CodeChar"/>
        </w:rPr>
        <w:t xml:space="preserve">BPRI.ExceptionHandling</w:t>
      </w:r>
      <w:r>
        <w:t xml:space="preserve">, basé sur Serilog.</w:t>
      </w:r>
    </w:p>
    <w:p>
      <w:pPr>
        <w:pStyle w:val="ListParagraph"/>
        <w:numPr>
          <w:ilvl w:val="0"/>
          <w:numId w:val="2"/>
        </w:numPr>
      </w:pPr>
      <w:r>
        <w:t xml:space="preserve">Suppression des projets </w:t>
      </w:r>
      <w:r>
        <w:rPr>
          <w:rStyle w:val="CodeChar"/>
        </w:rPr>
        <w:t xml:space="preserve">.MailKit</w:t>
      </w:r>
      <w:r>
        <w:t xml:space="preserve"> et </w:t>
      </w:r>
      <w:r>
        <w:rPr>
          <w:rStyle w:val="CodeChar"/>
        </w:rPr>
        <w:t xml:space="preserve">.EntityFrameworkCore</w:t>
      </w:r>
      <w:r>
        <w:t xml:space="preserve"> et des commentaires inutiles.</w:t>
      </w:r>
    </w:p>
    <w:p>
      <w:pPr>
        <w:pStyle w:val="ListParagraph"/>
        <w:numPr>
          <w:ilvl w:val="0"/>
          <w:numId w:val="2"/>
        </w:numPr>
      </w:pPr>
      <w:r>
        <w:t xml:space="preserve">Fichier texte ou JSON, rotation quotidienne : </w:t>
      </w:r>
      <w:r>
        <w:rPr>
          <w:rStyle w:val="CodeChar"/>
        </w:rPr>
        <w:t xml:space="preserve">Serilog.Sinks.File</w:t>
      </w:r>
      <w:r>
        <w:t xml:space="preserve">, chemin dans </w:t>
      </w:r>
      <w:r>
        <w:rPr>
          <w:rStyle w:val="CodeChar"/>
        </w:rPr>
        <w:t xml:space="preserve">File:Path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SQL Server : </w:t>
      </w:r>
      <w:r>
        <w:rPr>
          <w:rStyle w:val="CodeChar"/>
        </w:rPr>
        <w:t xml:space="preserve">Serilog.Sinks.MSSqlServer</w:t>
      </w:r>
      <w:r>
        <w:t xml:space="preserve">, table et base créées automatiquement.</w:t>
      </w:r>
    </w:p>
    <w:p>
      <w:pPr>
        <w:pStyle w:val="ListParagraph"/>
        <w:numPr>
          <w:ilvl w:val="0"/>
          <w:numId w:val="2"/>
        </w:numPr>
      </w:pPr>
      <w:r>
        <w:t xml:space="preserve">E-mail : </w:t>
      </w:r>
      <w:r>
        <w:rPr>
          <w:rStyle w:val="CodeChar"/>
        </w:rPr>
        <w:t xml:space="preserve">Serilog.Sinks.Email</w:t>
      </w:r>
      <w:r>
        <w:t xml:space="preserve"> (MailKit), désactivé tant que le SMTP n'est pas renseigné, envoi groupé (30 s ou 20 événements), seules les erreurs 500 déclenchent un mail.</w:t>
      </w:r>
    </w:p>
    <w:p>
      <w:pPr>
        <w:pStyle w:val="ListParagraph"/>
        <w:numPr>
          <w:ilvl w:val="0"/>
          <w:numId w:val="2"/>
        </w:numPr>
      </w:pPr>
      <w:r>
        <w:t xml:space="preserve">Chemin des logs, paramètres SMTP et connexion à la base sont dans </w:t>
      </w:r>
      <w:r>
        <w:rPr>
          <w:rStyle w:val="CodeChar"/>
        </w:rPr>
        <w:t xml:space="preserve">appsettings.json</w:t>
      </w:r>
      <w:r>
        <w:t xml:space="preserve">. Ni la chaîne de connexion ni le mot de passe SMTP ne sont stockés en base.</w:t>
      </w:r>
    </w:p>
    <w:p>
      <w:pPr>
        <w:pStyle w:val="ListParagraph"/>
        <w:numPr>
          <w:ilvl w:val="0"/>
          <w:numId w:val="2"/>
        </w:numPr>
      </w:pPr>
      <w:r>
        <w:t xml:space="preserve">Colonnes remises : </w:t>
      </w:r>
      <w:r>
        <w:rPr>
          <w:rStyle w:val="CodeChar"/>
        </w:rPr>
        <w:t xml:space="preserve">InnerException</w:t>
      </w:r>
      <w:r>
        <w:t xml:space="preserve">, </w:t>
      </w:r>
      <w:r>
        <w:rPr>
          <w:rStyle w:val="CodeChar"/>
        </w:rPr>
        <w:t xml:space="preserve">Fingerprint</w:t>
      </w:r>
      <w:r>
        <w:t xml:space="preserve">, </w:t>
      </w:r>
      <w:r>
        <w:rPr>
          <w:rStyle w:val="CodeChar"/>
        </w:rPr>
        <w:t xml:space="preserve">MachineName</w:t>
      </w:r>
      <w:r>
        <w:t xml:space="preserve">, </w:t>
      </w:r>
      <w:r>
        <w:rPr>
          <w:rStyle w:val="CodeChar"/>
        </w:rPr>
        <w:t xml:space="preserve">EnvironmentName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Renommage </w:t>
      </w:r>
      <w:r>
        <w:rPr>
          <w:rStyle w:val="CodeChar"/>
        </w:rPr>
        <w:t xml:space="preserve">Company</w:t>
      </w:r>
      <w:r>
        <w:t xml:space="preserve"> en </w:t>
      </w:r>
      <w:r>
        <w:rPr>
          <w:rStyle w:val="CodeChar"/>
        </w:rPr>
        <w:t xml:space="preserve">BPRI</w:t>
      </w:r>
      <w:r>
        <w:t xml:space="preserve">, suppression de l'ancien projet </w:t>
      </w:r>
      <w:r>
        <w:rPr>
          <w:rStyle w:val="CodeChar"/>
        </w:rPr>
        <w:t xml:space="preserve">ExceptionMiddleware</w:t>
      </w:r>
      <w:r>
        <w:t xml:space="preserve">.</w:t>
      </w:r>
    </w:p>
    <w:p>
      <w:pPr>
        <w:pStyle w:val="Heading2"/>
      </w:pPr>
      <w:r>
        <w:t xml:space="preserve">Étape 2 : contexte cprj et JWT dans chaque log</w:t>
      </w:r>
    </w:p>
    <w:p>
      <w:pPr/>
      <w:r>
        <w:t xml:space="preserve">Comme la bibliothèque sera utilisée en NuGet par d'autres projets, chaque log porte maintenant le contexte du projet appelant.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Colonne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D'où elle vient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Cprj</w:t>
            </w:r>
          </w:p>
        </w:tc>
        <w:tc>
          <w:tcPr>
            <w:tcW w:w="4680" w:type="dxa"/>
          </w:tcPr>
          <w:p>
            <w:pPr/>
            <w:r>
              <w:t xml:space="preserve">claim JWT </w:t>
            </w:r>
            <w:r>
              <w:rPr>
                <w:rStyle w:val="CodeChar"/>
              </w:rPr>
              <w:t xml:space="preserve">cprj</w:t>
            </w:r>
            <w:r>
              <w:t xml:space="preserve">, sinon la valeur </w:t>
            </w:r>
            <w:r>
              <w:rPr>
                <w:rStyle w:val="CodeChar"/>
              </w:rPr>
              <w:t xml:space="preserve">Cprj</w:t>
            </w:r>
            <w:r>
              <w:t xml:space="preserve"> de la config, sinon </w:t>
            </w:r>
            <w:r>
              <w:rPr>
                <w:rStyle w:val="CodeChar"/>
              </w:rPr>
              <w:t xml:space="preserve">ApplicationName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UserName</w:t>
            </w:r>
            <w:r>
              <w:t xml:space="preserve">, </w:t>
            </w:r>
            <w:r>
              <w:rPr>
                <w:rStyle w:val="CodeChar"/>
              </w:rPr>
              <w:t xml:space="preserve">UserId</w:t>
            </w:r>
          </w:p>
        </w:tc>
        <w:tc>
          <w:tcPr>
            <w:tcW w:w="4680" w:type="dxa"/>
          </w:tcPr>
          <w:p>
            <w:pPr/>
            <w:r>
              <w:t xml:space="preserve">utilisateur authentifié et claim </w:t>
            </w:r>
            <w:r>
              <w:rPr>
                <w:rStyle w:val="CodeChar"/>
              </w:rPr>
              <w:t xml:space="preserve">sub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Claims</w:t>
            </w:r>
          </w:p>
        </w:tc>
        <w:tc>
          <w:tcPr>
            <w:tcW w:w="4680" w:type="dxa"/>
          </w:tcPr>
          <w:p>
            <w:pPr/>
            <w:r>
              <w:t xml:space="preserve">JSON des seuls claims listés dans </w:t>
            </w:r>
            <w:r>
              <w:rPr>
                <w:rStyle w:val="CodeChar"/>
              </w:rPr>
              <w:t xml:space="preserve">Context:LoggedClaims</w:t>
            </w:r>
            <w:r>
              <w:t xml:space="preserve"> (jamais le jeton)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TraceId</w:t>
            </w:r>
            <w:r>
              <w:t xml:space="preserve">, </w:t>
            </w:r>
            <w:r>
              <w:rPr>
                <w:rStyle w:val="CodeChar"/>
              </w:rPr>
              <w:t xml:space="preserve">HttpMethod</w:t>
            </w:r>
            <w:r>
              <w:t xml:space="preserve">, </w:t>
            </w:r>
            <w:r>
              <w:rPr>
                <w:rStyle w:val="CodeChar"/>
              </w:rPr>
              <w:t xml:space="preserve">Path</w:t>
            </w:r>
          </w:p>
        </w:tc>
        <w:tc>
          <w:tcPr>
            <w:tcW w:w="4680" w:type="dxa"/>
          </w:tcPr>
          <w:p>
            <w:pPr/>
            <w:r>
              <w:t xml:space="preserve">requête en cours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ApplicationName</w:t>
            </w:r>
            <w:r>
              <w:t xml:space="preserve">, </w:t>
            </w:r>
            <w:r>
              <w:rPr>
                <w:rStyle w:val="CodeChar"/>
              </w:rPr>
              <w:t xml:space="preserve">EnvironmentName</w:t>
            </w:r>
            <w:r>
              <w:t xml:space="preserve">, </w:t>
            </w:r>
            <w:r>
              <w:rPr>
                <w:rStyle w:val="CodeChar"/>
              </w:rPr>
              <w:t xml:space="preserve">MachineName</w:t>
            </w:r>
          </w:p>
        </w:tc>
        <w:tc>
          <w:tcPr>
            <w:tcW w:w="4680" w:type="dxa"/>
          </w:tcPr>
          <w:p>
            <w:pPr/>
            <w:r>
              <w:t xml:space="preserve">application</w:t>
            </w:r>
          </w:p>
        </w:tc>
      </w:tr>
    </w:tbl>
    <w:p>
      <w:pPr/>
      <w:r>
        <w:t xml:space="preserve">Tous les logs </w:t>
      </w:r>
      <w:r>
        <w:rPr>
          <w:rStyle w:val="CodeChar"/>
        </w:rPr>
        <w:t xml:space="preserve">ILogger</w:t>
      </w:r>
      <w:r>
        <w:t xml:space="preserve"> de l'application sont aussi envoyés en base (</w:t>
      </w:r>
      <w:r>
        <w:rPr>
          <w:rStyle w:val="CodeChar"/>
        </w:rPr>
        <w:t xml:space="preserve">ApplicationLogs:Enabled</w:t>
      </w:r>
      <w:r>
        <w:t xml:space="preserve">), avec </w:t>
      </w:r>
      <w:r>
        <w:rPr>
          <w:rStyle w:val="CodeChar"/>
        </w:rPr>
        <w:t xml:space="preserve">SourceContext</w:t>
      </w:r>
      <w:r>
        <w:t xml:space="preserve">. Ils ne vont ni dans le fichier ni par e-mail. </w:t>
      </w:r>
      <w:r>
        <w:rPr>
          <w:rStyle w:val="CodeChar"/>
        </w:rPr>
        <w:t xml:space="preserve">Microsoft.*</w:t>
      </w:r>
      <w:r>
        <w:t xml:space="preserve"> et </w:t>
      </w:r>
      <w:r>
        <w:rPr>
          <w:rStyle w:val="CodeChar"/>
        </w:rPr>
        <w:t xml:space="preserve">System.*</w:t>
      </w:r>
      <w:r>
        <w:t xml:space="preserve"> restent au niveau Warning.</w:t>
      </w:r>
    </w:p>
    <w:p>
      <w:pPr/>
      <w:r>
        <w:t xml:space="preserve">Gravité des erreurs : 404 en Information, autres 4xx en Warning, 5xx en Error.</w:t>
      </w:r>
    </w:p>
    <w:p>
      <w:pPr>
        <w:pStyle w:val="Heading2"/>
      </w:pPr>
      <w:r>
        <w:t xml:space="preserve">Étape 3 : la plateforme de logs</w:t>
      </w:r>
    </w:p>
    <w:p>
      <w:pPr/>
      <w:r>
        <w:t xml:space="preserve">Projet séparé, dans le dossier </w:t>
      </w:r>
      <w:r>
        <w:rPr>
          <w:rStyle w:val="CodeChar"/>
        </w:rPr>
        <w:t xml:space="preserve">BPRI.LogsPlatform</w:t>
      </w:r>
      <w:r>
        <w:t xml:space="preserve"> (au même niveau que </w:t>
      </w:r>
      <w:r>
        <w:rPr>
          <w:rStyle w:val="CodeChar"/>
        </w:rPr>
        <w:t xml:space="preserve">src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</w:t>
      </w:r>
      <w:r>
        <w:t xml:space="preserve"> (</w:t>
      </w:r>
      <w:r>
        <w:rPr>
          <w:rStyle w:val="CodeChar"/>
        </w:rPr>
        <w:t xml:space="preserve">BPRI.LogsPlatform.Back</w:t>
      </w:r>
      <w:r>
        <w:t xml:space="preserve">, .NET 9, EF Core en lecture seule) : routes </w:t>
      </w:r>
      <w:r>
        <w:rPr>
          <w:rStyle w:val="CodeChar"/>
        </w:rPr>
        <w:t xml:space="preserve">/api/projects</w:t>
      </w:r>
      <w:r>
        <w:t xml:space="preserve">, </w:t>
      </w:r>
      <w:r>
        <w:rPr>
          <w:rStyle w:val="CodeChar"/>
        </w:rPr>
        <w:t xml:space="preserve">/api/logs</w:t>
      </w:r>
      <w:r>
        <w:t xml:space="preserve">, </w:t>
      </w:r>
      <w:r>
        <w:rPr>
          <w:rStyle w:val="CodeChar"/>
        </w:rPr>
        <w:t xml:space="preserve">/api/logs/{id}</w:t>
      </w:r>
      <w:r>
        <w:t xml:space="preserve">, </w:t>
      </w:r>
      <w:r>
        <w:rPr>
          <w:rStyle w:val="CodeChar"/>
        </w:rPr>
        <w:t xml:space="preserve">/api/stats</w:t>
      </w:r>
      <w:r>
        <w:t xml:space="preserve">, </w:t>
      </w:r>
      <w:r>
        <w:rPr>
          <w:rStyle w:val="CodeChar"/>
        </w:rPr>
        <w:t xml:space="preserve">/api/filters</w:t>
      </w:r>
      <w:r>
        <w:t xml:space="preserve">. Les niveaux Fatal comptent comme Error, Debug et Verbose comme Information.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</w:t>
      </w:r>
      <w:r>
        <w:t xml:space="preserve"> (</w:t>
      </w:r>
      <w:r>
        <w:rPr>
          <w:rStyle w:val="CodeChar"/>
        </w:rPr>
        <w:t xml:space="preserve">BPRI.LogsPlatform.Front</w:t>
      </w:r>
      <w:r>
        <w:t xml:space="preserve">, Angular 22 et Angular Material, Chart.js) : accès libre, modes clair et sombre, choix du cprj (</w:t>
      </w:r>
      <w:r>
        <w:rPr>
          <w:rStyle w:val="CodeChar"/>
        </w:rPr>
        <w:t xml:space="preserve">CatalogueAPP</w:t>
      </w:r>
      <w:r>
        <w:t xml:space="preserve"> par défaut), recherche par TraceId, graphiques (gravités, codes HTTP dont 403, types d'exception, chronologie), détail d'un log avec utilisateur et claims.</w:t>
      </w:r>
    </w:p>
    <w:p>
      <w:pPr>
        <w:pStyle w:val="ListParagraph"/>
        <w:numPr>
          <w:ilvl w:val="0"/>
          <w:numId w:val="3"/>
        </w:numPr>
      </w:pPr>
      <w:r>
        <w:t xml:space="preserve">Une fausse API (</w:t>
      </w:r>
      <w:r>
        <w:rPr>
          <w:rStyle w:val="CodeChar"/>
        </w:rPr>
        <w:t xml:space="preserve">mock/server.mjs</w:t>
      </w:r>
      <w:r>
        <w:t xml:space="preserve">) permet de tester l'interface sans SQL Server.</w:t>
      </w:r>
    </w:p>
    <w:p>
      <w:pPr>
        <w:pStyle w:val="Heading2"/>
      </w:pPr>
      <w:r>
        <w:t xml:space="preserve">Étape 4 : e-mail HTML et structure en dossiers</w:t>
      </w:r>
    </w:p>
    <w:p>
      <w:pPr/>
      <w:r>
        <w:rPr>
          <w:b/>
        </w:rPr>
        <w:t xml:space="preserve">E-mail</w:t>
      </w:r>
      <w:r>
        <w:t xml:space="preserve"> : le corps est un modèle HTML (</w:t>
      </w:r>
      <w:r>
        <w:rPr>
          <w:rStyle w:val="CodeChar"/>
        </w:rPr>
        <w:t xml:space="preserve">Templates/ErrorMail.html</w:t>
      </w:r>
      <w:r>
        <w:t xml:space="preserve">) avec un en-tête coloré selon la gravité, le cprj, le TraceId, la requête, l'utilisateur et la stack trace. On peut le remplacer avec </w:t>
      </w:r>
      <w:r>
        <w:rPr>
          <w:rStyle w:val="CodeChar"/>
        </w:rPr>
        <w:t xml:space="preserve">Email:TemplatePath</w:t>
      </w:r>
      <w:r>
        <w:t xml:space="preserve">. Les erreurs d'envoi sont visibles dans la fenêtre Sortie (journal interne de Serilog). L'envoi a été validé avec le SMTP IONOS.</w:t>
      </w:r>
    </w:p>
    <w:p>
      <w:pPr/>
      <w:r>
        <w:rPr>
          <w:b/>
        </w:rPr>
        <w:t xml:space="preserve">Structure du projet </w:t>
      </w:r>
      <w:r>
        <w:rPr>
          <w:rStyle w:val="CodeChar"/>
          <w:b/>
        </w:rPr>
        <w:t xml:space="preserve">BPRI.ExceptionHandling</w:t>
      </w:r>
      <w:r>
        <w:t xml:space="preserve">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Dossier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Contenu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Exceptions/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AppException</w:t>
            </w:r>
            <w:r>
              <w:t xml:space="preserve">, </w:t>
            </w:r>
            <w:r>
              <w:rPr>
                <w:rStyle w:val="CodeChar"/>
              </w:rPr>
              <w:t xml:space="preserve">ErrorInfo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Extensions/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ExceptionHandlerExtensions</w:t>
            </w:r>
            <w:r>
              <w:t xml:space="preserve"> (</w:t>
            </w:r>
            <w:r>
              <w:rPr>
                <w:rStyle w:val="CodeChar"/>
              </w:rPr>
              <w:t xml:space="preserve">AddBpriExceptionHandling</w:t>
            </w:r>
            <w:r>
              <w:t xml:space="preserve">, </w:t>
            </w:r>
            <w:r>
              <w:rPr>
                <w:rStyle w:val="CodeChar"/>
              </w:rPr>
              <w:t xml:space="preserve">UseBpriExceptionHandling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Middleware/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ExceptionHandlingMiddleware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Options/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ExceptionHandlingOptions</w:t>
            </w:r>
            <w:r>
              <w:t xml:space="preserve"> (File, Database, Email, Context, ApplicationLogs)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Services/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ExceptionLogger</w:t>
            </w:r>
            <w:r>
              <w:t xml:space="preserve">, </w:t>
            </w:r>
            <w:r>
              <w:rPr>
                <w:rStyle w:val="CodeChar"/>
              </w:rPr>
              <w:t xml:space="preserve">RequestContextEnricher</w:t>
            </w:r>
            <w:r>
              <w:t xml:space="preserve">, </w:t>
            </w:r>
            <w:r>
              <w:rPr>
                <w:rStyle w:val="CodeChar"/>
              </w:rPr>
              <w:t xml:space="preserve">ApplicationLogProvider</w:t>
            </w:r>
            <w:r>
              <w:t xml:space="preserve">, </w:t>
            </w:r>
            <w:r>
              <w:rPr>
                <w:rStyle w:val="CodeChar"/>
              </w:rPr>
              <w:t xml:space="preserve">HtmlEmailFormatter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Templates/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ErrorMail.html</w:t>
            </w:r>
          </w:p>
        </w:tc>
      </w:tr>
    </w:tbl>
    <w:p>
      <w:pPr/>
      <w:r>
        <w:t xml:space="preserve">Les dossiers </w:t>
      </w:r>
      <w:r>
        <w:rPr>
          <w:rStyle w:val="CodeChar"/>
        </w:rPr>
        <w:t xml:space="preserve">Interfaces</w:t>
      </w:r>
      <w:r>
        <w:t xml:space="preserve"> et </w:t>
      </w:r>
      <w:r>
        <w:rPr>
          <w:rStyle w:val="CodeChar"/>
        </w:rPr>
        <w:t xml:space="preserve">Repositories</w:t>
      </w:r>
      <w:r>
        <w:t xml:space="preserve"> n'existent pas : le projet n'a ni interface ni accès aux données à y mettre. Les espaces de noms restent </w:t>
      </w:r>
      <w:r>
        <w:rPr>
          <w:rStyle w:val="CodeChar"/>
        </w:rPr>
        <w:t xml:space="preserve">BPRI.ExceptionHandling</w:t>
      </w:r>
      <w:r>
        <w:t xml:space="preserve">, donc les </w:t>
      </w:r>
      <w:r>
        <w:rPr>
          <w:rStyle w:val="CodeChar"/>
        </w:rPr>
        <w:t xml:space="preserve">using</w:t>
      </w:r>
      <w:r>
        <w:t xml:space="preserve"> des projets clients ne changent pas.</w:t>
      </w:r>
    </w:p>
    <w:p>
      <w:pPr>
        <w:pStyle w:val="Heading2"/>
      </w:pPr>
      <w:r>
        <w:t xml:space="preserve">Corrections faites dans ton code existant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Problème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Correction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Erreur de restauration NU1605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Serilog</w:t>
            </w:r>
            <w:r>
              <w:t xml:space="preserve"> 4.3.0 alors que </w:t>
            </w:r>
            <w:r>
              <w:rPr>
                <w:rStyle w:val="CodeChar"/>
              </w:rPr>
              <w:t xml:space="preserve">Serilog.Sinks.Email</w:t>
            </w:r>
            <w:r>
              <w:t xml:space="preserve"> exige 4.3.1 ou plus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Serilog</w:t>
            </w:r>
            <w:r>
              <w:t xml:space="preserve"> en </w:t>
            </w:r>
            <w:r>
              <w:rPr>
                <w:rStyle w:val="CodeChar"/>
              </w:rPr>
              <w:t xml:space="preserve">4.*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FileNotFoundException</w:t>
            </w:r>
            <w:r>
              <w:t xml:space="preserve"> sur </w:t>
            </w:r>
            <w:r>
              <w:rPr>
                <w:rStyle w:val="CodeChar"/>
              </w:rPr>
              <w:t xml:space="preserve">Serilog 4.4.0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Catalog.Api</w:t>
            </w:r>
            <w:r>
              <w:t xml:space="preserve"> pointait vers des paquets de développement (</w:t>
            </w:r>
            <w:r>
              <w:rPr>
                <w:rStyle w:val="CodeChar"/>
              </w:rPr>
              <w:t xml:space="preserve">Serilog 4.3.2-dev</w:t>
            </w:r>
            <w:r>
              <w:t xml:space="preserve">, </w:t>
            </w:r>
            <w:r>
              <w:rPr>
                <w:rStyle w:val="CodeChar"/>
              </w:rPr>
              <w:t xml:space="preserve">Sinks.File 8.0.0-nblumhardt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Serilog 4.*</w:t>
            </w:r>
            <w:r>
              <w:t xml:space="preserve"> et </w:t>
            </w:r>
            <w:r>
              <w:rPr>
                <w:rStyle w:val="CodeChar"/>
              </w:rPr>
              <w:t xml:space="preserve">Serilog.Sinks.File 7.0.0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Swagger introuvable</w:t>
            </w:r>
          </w:p>
        </w:tc>
        <w:tc>
          <w:tcPr>
            <w:tcW w:w="3120" w:type="dxa"/>
          </w:tcPr>
          <w:p>
            <w:pPr/>
            <w:r>
              <w:t xml:space="preserve">le navigateur s'ouvrait sur </w:t>
            </w:r>
            <w:r>
              <w:rPr>
                <w:rStyle w:val="CodeChar"/>
              </w:rPr>
              <w:t xml:space="preserve">/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launchUrl: swagger</w:t>
            </w:r>
            <w:r>
              <w:t xml:space="preserve"> dans </w:t>
            </w:r>
            <w:r>
              <w:rPr>
                <w:rStyle w:val="CodeChar"/>
              </w:rPr>
              <w:t xml:space="preserve">launchSettings.json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Erreur 500 </w:t>
            </w:r>
            <w:r>
              <w:rPr>
                <w:rStyle w:val="CodeChar"/>
              </w:rPr>
              <w:t xml:space="preserve">Method not found</w:t>
            </w:r>
            <w:r>
              <w:t xml:space="preserve"> (AutoMapper)</w:t>
            </w:r>
          </w:p>
        </w:tc>
        <w:tc>
          <w:tcPr>
            <w:tcW w:w="3120" w:type="dxa"/>
          </w:tcPr>
          <w:p>
            <w:pPr/>
            <w:r>
              <w:t xml:space="preserve">AutoMapper 16 avec le paquet d'extension version 12</w:t>
            </w:r>
          </w:p>
        </w:tc>
        <w:tc>
          <w:tcPr>
            <w:tcW w:w="3120" w:type="dxa"/>
          </w:tcPr>
          <w:p>
            <w:pPr/>
            <w:r>
              <w:t xml:space="preserve">retour à AutoMapper 14.0.0 (gratuit), sans le paquet d'extension, un seul </w:t>
            </w:r>
            <w:r>
              <w:rPr>
                <w:rStyle w:val="CodeChar"/>
              </w:rPr>
              <w:t xml:space="preserve">AddAutoMapper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Appel </w:t>
            </w:r>
            <w:r>
              <w:rPr>
                <w:rStyle w:val="CodeChar"/>
              </w:rPr>
              <w:t xml:space="preserve">AddAutoMapper</w:t>
            </w:r>
            <w:r>
              <w:t xml:space="preserve"> ambigu</w:t>
            </w:r>
          </w:p>
        </w:tc>
        <w:tc>
          <w:tcPr>
            <w:tcW w:w="3120" w:type="dxa"/>
          </w:tcPr>
          <w:p>
            <w:pPr/>
            <w:r>
              <w:t xml:space="preserve">depuis AutoMapper 13 la méthode est déjà dans le paquet principal</w:t>
            </w:r>
          </w:p>
        </w:tc>
        <w:tc>
          <w:tcPr>
            <w:tcW w:w="3120" w:type="dxa"/>
          </w:tcPr>
          <w:p>
            <w:pPr/>
            <w:r>
              <w:t xml:space="preserve">suppression du paquet d'extension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E-mail non reçu</w:t>
            </w:r>
          </w:p>
        </w:tc>
        <w:tc>
          <w:tcPr>
            <w:tcW w:w="3120" w:type="dxa"/>
          </w:tcPr>
          <w:p>
            <w:pPr/>
            <w:r>
              <w:t xml:space="preserve">identifiants SMTP refusés (535)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UserName</w:t>
            </w:r>
            <w:r>
              <w:t xml:space="preserve"> et </w:t>
            </w:r>
            <w:r>
              <w:rPr>
                <w:rStyle w:val="CodeChar"/>
              </w:rPr>
              <w:t xml:space="preserve">From</w:t>
            </w:r>
            <w:r>
              <w:t xml:space="preserve"> = adresse complète de la boîte IONOS</w:t>
            </w:r>
          </w:p>
        </w:tc>
      </w:tr>
    </w:tbl>
    <w:p>
      <w:pPr/>
      <w:r>
        <w:t xml:space="preserve">Les deux lignes </w:t>
      </w:r>
      <w:r>
        <w:rPr>
          <w:rStyle w:val="CodeChar"/>
        </w:rPr>
        <w:t xml:space="preserve">int x = 0; var res = 5 / x;</w:t>
      </w:r>
      <w:r>
        <w:t xml:space="preserve"> de </w:t>
      </w:r>
      <w:r>
        <w:rPr>
          <w:rStyle w:val="CodeChar"/>
        </w:rPr>
        <w:t xml:space="preserve">CatalogueService.GetAllAsync</w:t>
      </w:r>
      <w:r>
        <w:t xml:space="preserve"> sont un test volontaire d'erreur 500 : à supprimer.</w:t>
      </w:r>
    </w:p>
    <w:p>
      <w:pPr>
        <w:pStyle w:val="Heading2"/>
      </w:pPr>
      <w:r>
        <w:t xml:space="preserve">Configuration, sécurité et suite</w:t>
      </w:r>
    </w:p>
    <w:p>
      <w:pPr/>
      <w:r>
        <w:rPr>
          <w:b/>
        </w:rPr>
        <w:t xml:space="preserve">Utiliser le NuGet directement</w:t>
      </w:r>
      <w:r>
        <w:t xml:space="preserve"> : </w:t>
      </w:r>
      <w:r>
        <w:rPr>
          <w:rStyle w:val="CodeChar"/>
        </w:rPr>
        <w:t xml:space="preserve">AddBpriExceptionHandling(configuration)</w:t>
      </w:r>
      <w:r>
        <w:t xml:space="preserve"> et </w:t>
      </w:r>
      <w:r>
        <w:rPr>
          <w:rStyle w:val="CodeChar"/>
        </w:rPr>
        <w:t xml:space="preserve">UseBpriExceptionHandling()</w:t>
      </w:r>
      <w:r>
        <w:t xml:space="preserve"> suffisent. Le fichier </w:t>
      </w:r>
      <w:r>
        <w:rPr>
          <w:rStyle w:val="CodeChar"/>
        </w:rPr>
        <w:t xml:space="preserve">ExceptionHandlingSetup.cs</w:t>
      </w:r>
      <w:r>
        <w:t xml:space="preserve"> de </w:t>
      </w:r>
      <w:r>
        <w:rPr>
          <w:rStyle w:val="CodeChar"/>
        </w:rPr>
        <w:t xml:space="preserve">Catalog.Api</w:t>
      </w:r>
      <w:r>
        <w:t xml:space="preserve"> est facultatif : il sert seulement à garder le format de réponse de ton API (</w:t>
      </w:r>
      <w:r>
        <w:rPr>
          <w:rStyle w:val="CodeChar"/>
        </w:rPr>
        <w:t xml:space="preserve">ApiResponse</w:t>
      </w:r>
      <w:r>
        <w:t xml:space="preserve"> avec </w:t>
      </w:r>
      <w:r>
        <w:rPr>
          <w:rStyle w:val="CodeChar"/>
        </w:rPr>
        <w:t xml:space="preserve">validationErrors</w:t>
      </w:r>
      <w:r>
        <w:t xml:space="preserve">) et à renvoyer 400 pour les erreurs FluentValidation. Sans lui, les réponses sont au format ProblemDetails standard et une </w:t>
      </w:r>
      <w:r>
        <w:rPr>
          <w:rStyle w:val="CodeChar"/>
        </w:rPr>
        <w:t xml:space="preserve">ValidationException</w:t>
      </w:r>
      <w:r>
        <w:t xml:space="preserve"> donnerait un 500.</w:t>
      </w:r>
    </w:p>
    <w:p>
      <w:pPr/>
      <w:r>
        <w:rPr>
          <w:b/>
        </w:rPr>
        <w:t xml:space="preserve">Sécurité</w:t>
      </w:r>
    </w:p>
    <w:p>
      <w:pPr>
        <w:pStyle w:val="ListParagraph"/>
        <w:numPr>
          <w:ilvl w:val="0"/>
          <w:numId w:val="4"/>
        </w:numPr>
      </w:pPr>
      <w:r>
        <w:t xml:space="preserve">Le mot de passe SMTP est dans </w:t>
      </w:r>
      <w:r>
        <w:rPr>
          <w:rStyle w:val="CodeChar"/>
        </w:rPr>
        <w:t xml:space="preserve">appsettings.json</w:t>
      </w:r>
      <w:r>
        <w:t xml:space="preserve">, donc dans le dépôt : le mettre en user-secrets (</w:t>
      </w:r>
      <w:r>
        <w:rPr>
          <w:rStyle w:val="CodeChar"/>
        </w:rPr>
        <w:t xml:space="preserve">dotnet user-secrets set "ExceptionHandling:Email:Password" "..."</w:t>
      </w:r>
      <w:r>
        <w:t xml:space="preserve">) et le changer.</w:t>
      </w:r>
    </w:p>
    <w:p>
      <w:pPr>
        <w:pStyle w:val="ListParagraph"/>
        <w:numPr>
          <w:ilvl w:val="0"/>
          <w:numId w:val="4"/>
        </w:numPr>
      </w:pPr>
      <w:r>
        <w:t xml:space="preserve">Dans </w:t>
      </w:r>
      <w:r>
        <w:rPr>
          <w:rStyle w:val="CodeChar"/>
        </w:rPr>
        <w:t xml:space="preserve">LoggedClaims</w:t>
      </w:r>
      <w:r>
        <w:t xml:space="preserve">, ne mettre que des claims non sensibles. Le jeton n'est jamais enregistré.</w:t>
      </w:r>
    </w:p>
    <w:p>
      <w:pPr>
        <w:pStyle w:val="ListParagraph"/>
        <w:numPr>
          <w:ilvl w:val="0"/>
          <w:numId w:val="4"/>
        </w:numPr>
      </w:pPr>
      <w:r>
        <w:t xml:space="preserve">Le cprj par en-tête HTTP (</w:t>
      </w:r>
      <w:r>
        <w:rPr>
          <w:rStyle w:val="CodeChar"/>
        </w:rPr>
        <w:t xml:space="preserve">CprjHeader</w:t>
      </w:r>
      <w:r>
        <w:t xml:space="preserve">) est désactivé par défaut car un client peut le falsifier.</w:t>
      </w:r>
    </w:p>
    <w:p>
      <w:pPr/>
      <w:r>
        <w:rPr>
          <w:b/>
        </w:rPr>
        <w:t xml:space="preserve">Reste à faire</w:t>
      </w:r>
    </w:p>
    <w:p>
      <w:pPr>
        <w:pStyle w:val="ListParagraph"/>
        <w:numPr>
          <w:ilvl w:val="0"/>
          <w:numId w:val="5"/>
        </w:numPr>
      </w:pPr>
      <w:r>
        <w:t xml:space="preserve">Supprimer l'ancienne table </w:t>
      </w:r>
      <w:r>
        <w:rPr>
          <w:rStyle w:val="CodeChar"/>
        </w:rPr>
        <w:t xml:space="preserve">dbo.ExceptionLogs</w:t>
      </w:r>
      <w:r>
        <w:t xml:space="preserve"> si elle date d'avant le changement de colonnes.</w:t>
      </w:r>
    </w:p>
    <w:p>
      <w:pPr>
        <w:pStyle w:val="ListParagraph"/>
        <w:numPr>
          <w:ilvl w:val="0"/>
          <w:numId w:val="5"/>
        </w:numPr>
      </w:pPr>
      <w:r>
        <w:t xml:space="preserve">Ajouter un claim </w:t>
      </w:r>
      <w:r>
        <w:rPr>
          <w:rStyle w:val="CodeChar"/>
        </w:rPr>
        <w:t xml:space="preserve">cprj</w:t>
      </w:r>
      <w:r>
        <w:t xml:space="preserve"> au JWT de </w:t>
      </w:r>
      <w:r>
        <w:rPr>
          <w:rStyle w:val="CodeChar"/>
        </w:rPr>
        <w:t xml:space="preserve">Catalog.Api</w:t>
      </w:r>
      <w:r>
        <w:t xml:space="preserve"> : sans lui, la valeur retombe sur </w:t>
      </w:r>
      <w:r>
        <w:rPr>
          <w:rStyle w:val="CodeChar"/>
        </w:rPr>
        <w:t xml:space="preserve">CatalogueAPP</w:t>
      </w:r>
      <w:r>
        <w:t xml:space="preserve"> (config).</w:t>
      </w:r>
    </w:p>
    <w:p>
      <w:pPr>
        <w:pStyle w:val="ListParagraph"/>
        <w:numPr>
          <w:ilvl w:val="0"/>
          <w:numId w:val="5"/>
        </w:numPr>
      </w:pPr>
      <w:r>
        <w:t xml:space="preserve">Retirer le test de division par zéro.</w:t>
      </w:r>
    </w:p>
    <w:p>
      <w:pPr>
        <w:pStyle w:val="ListParagraph"/>
        <w:numPr>
          <w:ilvl w:val="0"/>
          <w:numId w:val="5"/>
        </w:numPr>
      </w:pPr>
      <w:r>
        <w:t xml:space="preserve">Lancer </w:t>
      </w:r>
      <w:r>
        <w:rPr>
          <w:rStyle w:val="CodeChar"/>
        </w:rPr>
        <w:t xml:space="preserve">dotnet build</w:t>
      </w:r>
      <w:r>
        <w:t xml:space="preserve"> sur les deux solutions et tester l'interface Angular contre la vraie base.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Journal de travail  BPRI.ExceptionHandling et LogsPlatform</dc:title>
  <dc:description>Claude Docs node/a4eb89ef-d5cb@8 docx-w6</dc:description>
  <cp:revision>8</cp:revision>
</cp:coreProperties>
</file>