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454921522dfbe53d4b162098eb0ab1ffaac5a2"/>
    <w:p>
      <w:pPr>
        <w:pStyle w:val="Heading1"/>
      </w:pPr>
      <w:r>
        <w:t xml:space="preserve">Kent State Design Excellence Strategy Meeting</w:t>
      </w:r>
    </w:p>
    <w:p>
      <w:pPr>
        <w:pStyle w:val="FirstParagraph"/>
      </w:pPr>
      <w:r>
        <w:rPr>
          <w:b/>
          <w:bCs/>
        </w:rPr>
        <w:t xml:space="preserve">Date/Time:</w:t>
      </w:r>
      <w:r>
        <w:t xml:space="preserve"> </w:t>
      </w:r>
      <w:r>
        <w:t xml:space="preserve">February 24, 2026, 4:16 PM EST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meeting centered on clarifying what it means to elevate Kent State’s reputation through</w:t>
      </w:r>
      <w:r>
        <w:t xml:space="preserve"> </w:t>
      </w:r>
      <w:r>
        <w:rPr>
          <w:b/>
          <w:bCs/>
        </w:rPr>
        <w:t xml:space="preserve">Design Excellence</w:t>
      </w:r>
      <w:r>
        <w:t xml:space="preserve">, grounding that definition in student research, competitive positioning, and strategic storytelling. The discussion emphasized differentiating Kent State from art-specific institutions while leveraging its interdisciplinary breadth, flexibility, and career-aligned outcomes.</w:t>
      </w:r>
    </w:p>
    <w:p>
      <w:pPr>
        <w:pStyle w:val="BodyText"/>
      </w:pPr>
      <w:r>
        <w:t xml:space="preserve">Kaitlyn’s notes have been fully integrated below to ensure alignment between research findings, messaging priorities, and next steps.</w:t>
      </w:r>
    </w:p>
    <w:p>
      <w:r>
        <w:pict>
          <v:rect style="width:0;height:1.5pt" o:hralign="center" o:hrstd="t" o:hr="t"/>
        </w:pict>
      </w:r>
    </w:p>
    <w:bookmarkEnd w:id="20"/>
    <w:bookmarkStart w:id="22" w:name="research-insights-cae-cci-focus-groups"/>
    <w:p>
      <w:pPr>
        <w:pStyle w:val="Heading2"/>
      </w:pPr>
      <w:r>
        <w:t xml:space="preserve">Research Insights (CAE &amp; CCI Focus Groups)</w:t>
      </w:r>
    </w:p>
    <w:bookmarkStart w:id="21" w:name="two-student-pathways-into-design"/>
    <w:p>
      <w:pPr>
        <w:pStyle w:val="Heading3"/>
      </w:pPr>
      <w:r>
        <w:t xml:space="preserve">1. Two Student Pathways into Design</w:t>
      </w:r>
    </w:p>
    <w:p>
      <w:pPr>
        <w:pStyle w:val="FirstParagraph"/>
      </w:pPr>
      <w:r>
        <w:t xml:space="preserve">Students broadly fell into two categories: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Early Fascination</w:t>
      </w:r>
      <w:r>
        <w:t xml:space="preserve">: Students who knew early they were interested in a design-related discipline.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 Discovery</w:t>
      </w:r>
      <w:r>
        <w:t xml:space="preserve">: Students who discovered design after exploring other majors, sometimes transferring from entirely different academic paths.</w:t>
      </w:r>
    </w:p>
    <w:p>
      <w:pPr>
        <w:pStyle w:val="FirstParagraph"/>
      </w:pPr>
      <w:r>
        <w:t xml:space="preserve">This reinforces the need for messaging that supports both certainty and exploration, particularly in how programs are framed for prospective and exploratory students}.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defining-design-excellence"/>
    <w:p>
      <w:pPr>
        <w:pStyle w:val="Heading2"/>
      </w:pPr>
      <w:r>
        <w:t xml:space="preserve">Defining</w:t>
      </w:r>
      <w:r>
        <w:t xml:space="preserve"> </w:t>
      </w:r>
      <w:r>
        <w:t xml:space="preserve">“Design Excellence”</w:t>
      </w:r>
    </w:p>
    <w:bookmarkStart w:id="23" w:name="what-does-it-mean-to-this-group"/>
    <w:p>
      <w:pPr>
        <w:pStyle w:val="Heading3"/>
      </w:pPr>
      <w:r>
        <w:t xml:space="preserve">What Does It Mean to This Group?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 SW</w:t>
      </w:r>
      <w:r>
        <w:t xml:space="preserve">: Excellence is the</w:t>
      </w:r>
      <w:r>
        <w:t xml:space="preserve"> </w:t>
      </w:r>
      <w:r>
        <w:rPr>
          <w:i/>
          <w:iCs/>
        </w:rPr>
        <w:t xml:space="preserve">outcome of the experience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 JZ</w:t>
      </w:r>
      <w:r>
        <w:t xml:space="preserve">: Fascination leads to exploration — the process of discovering passion within a design discipline.</w:t>
      </w:r>
    </w:p>
    <w:p>
      <w:pPr>
        <w:pStyle w:val="FirstParagraph"/>
      </w:pPr>
      <w:r>
        <w:t xml:space="preserve">The meeting further emphasized that excellence should not be defined solely by comparison to competitors like RISD or SCAD, but rather by student growth and outcome differentiation}.</w:t>
      </w:r>
    </w:p>
    <w:p>
      <w:pPr>
        <w:pStyle w:val="BodyText"/>
      </w:pPr>
      <w:r>
        <w:t xml:space="preserve">Excellence is therefore framed less as prestige and more as:</w:t>
      </w:r>
      <w:r>
        <w:t xml:space="preserve"> </w:t>
      </w:r>
      <w:r>
        <w:t xml:space="preserve">- Intellectual curiosity</w:t>
      </w:r>
      <w:r>
        <w:t xml:space="preserve"> </w:t>
      </w:r>
      <w:r>
        <w:t xml:space="preserve">- Interdisciplinary mobility</w:t>
      </w:r>
      <w:r>
        <w:t xml:space="preserve"> </w:t>
      </w:r>
      <w:r>
        <w:t xml:space="preserve">- Tangible career outcomes</w:t>
      </w:r>
      <w:r>
        <w:t xml:space="preserve"> </w:t>
      </w:r>
      <w:r>
        <w:t xml:space="preserve">- Experiential learning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3c15145ee3b96937631572f25ac2e5350dd60ca"/>
    <w:p>
      <w:pPr>
        <w:pStyle w:val="Heading2"/>
      </w:pPr>
      <w:r>
        <w:t xml:space="preserve">Differentiators: What Kent State Does Distinctly</w:t>
      </w:r>
    </w:p>
    <w:p>
      <w:pPr>
        <w:pStyle w:val="FirstParagraph"/>
      </w:pPr>
      <w:r>
        <w:t xml:space="preserve">Several differentiators emerged and require refinement through additional internal and competitor research: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Interdisciplinary Breadth</w:t>
      </w:r>
      <w:r>
        <w:br/>
      </w:r>
      <w:r>
        <w:t xml:space="preserve">Eight design disciplines on one campus, encouraging cross-disciplinary collaboration}.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Early Exposure to Emerging Fields</w:t>
      </w:r>
      <w:r>
        <w:br/>
      </w:r>
      <w:r>
        <w:t xml:space="preserve">Students cited early UXD integration and embedded engineering pathways as distinctive}.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Versatility Over Refinement Model</w:t>
      </w:r>
      <w:r>
        <w:br/>
      </w:r>
      <w:r>
        <w:t xml:space="preserve">Unlike institutions focused narrowly on artistic refinement, Kent State fosters adaptability and willingness to experiment}.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Program Mobility &amp; Flexibility</w:t>
      </w:r>
      <w:r>
        <w:br/>
      </w:r>
      <w:r>
        <w:t xml:space="preserve">Students can pivot between disciplines without losing academic momentum (strong retention opportunity).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Career Outcome Alignment</w:t>
      </w:r>
      <w:r>
        <w:br/>
      </w:r>
      <w:r>
        <w:t xml:space="preserve">“Our programs lead to successful career outcomes”</w:t>
      </w:r>
      <w:r>
        <w:t xml:space="preserve"> </w:t>
      </w:r>
      <w:r>
        <w:t xml:space="preserve">— but the key strategic question remains:</w:t>
      </w:r>
      <w:r>
        <w:br/>
      </w:r>
      <w:r>
        <w:rPr>
          <w:i/>
          <w:iCs/>
        </w:rPr>
        <w:t xml:space="preserve">Is this meaningfully different from competitor messaging?</w:t>
      </w:r>
    </w:p>
    <w:p>
      <w:pPr>
        <w:pStyle w:val="FirstParagraph"/>
      </w:pPr>
      <w:r>
        <w:t xml:space="preserve">This opens the opportunity to analyze career growth industries and leverage storytelling around high-growth design fields (e.g., UXD, systems design, motion, embedded engineering).</w:t>
      </w:r>
    </w:p>
    <w:p>
      <w:r>
        <w:pict>
          <v:rect style="width:0;height:1.5pt" o:hralign="center" o:hrstd="t" o:hr="t"/>
        </w:pict>
      </w:r>
    </w:p>
    <w:bookmarkEnd w:id="25"/>
    <w:bookmarkStart w:id="26" w:name="storytelling-content-gaps"/>
    <w:p>
      <w:pPr>
        <w:pStyle w:val="Heading2"/>
      </w:pPr>
      <w:r>
        <w:t xml:space="preserve">Storytelling &amp; Content Gaps</w:t>
      </w:r>
    </w:p>
    <w:p>
      <w:pPr>
        <w:pStyle w:val="Compact"/>
        <w:numPr>
          <w:ilvl w:val="0"/>
          <w:numId w:val="1004"/>
        </w:numPr>
      </w:pPr>
      <w:r>
        <w:t xml:space="preserve">Design stories are being produced but lack cohesion.</w:t>
      </w:r>
    </w:p>
    <w:p>
      <w:pPr>
        <w:pStyle w:val="Compact"/>
        <w:numPr>
          <w:ilvl w:val="0"/>
          <w:numId w:val="1004"/>
        </w:numPr>
      </w:pPr>
      <w:r>
        <w:t xml:space="preserve">There is no consistent call-to-action directing students toward a unified design destination.</w:t>
      </w:r>
    </w:p>
    <w:p>
      <w:pPr>
        <w:pStyle w:val="Compact"/>
        <w:numPr>
          <w:ilvl w:val="0"/>
          <w:numId w:val="1004"/>
        </w:numPr>
      </w:pPr>
      <w:r>
        <w:t xml:space="preserve">Alumni stories were explicitly requested by students as motivating content}.</w:t>
      </w:r>
    </w:p>
    <w:p>
      <w:pPr>
        <w:pStyle w:val="Compact"/>
        <w:numPr>
          <w:ilvl w:val="0"/>
          <w:numId w:val="1004"/>
        </w:numPr>
      </w:pPr>
      <w:r>
        <w:t xml:space="preserve">Students want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design in action — visual evidence of hands-on experience}.</w:t>
      </w:r>
    </w:p>
    <w:p>
      <w:pPr>
        <w:pStyle w:val="FirstParagraph"/>
      </w:pPr>
      <w:r>
        <w:t xml:space="preserve">Storytelling was identified as the strategic vehicle to elevate positioning and reinforce impact}.</w:t>
      </w:r>
    </w:p>
    <w:p>
      <w:r>
        <w:pict>
          <v:rect style="width:0;height:1.5pt" o:hralign="center" o:hrstd="t" o:hr="t"/>
        </w:pict>
      </w:r>
    </w:p>
    <w:bookmarkEnd w:id="26"/>
    <w:bookmarkStart w:id="29" w:name="audience-prioritization"/>
    <w:p>
      <w:pPr>
        <w:pStyle w:val="Heading2"/>
      </w:pPr>
      <w:r>
        <w:t xml:space="preserve">Audience Prioritization</w:t>
      </w:r>
    </w:p>
    <w:bookmarkStart w:id="27" w:name="primary-audience"/>
    <w:p>
      <w:pPr>
        <w:pStyle w:val="Heading3"/>
      </w:pPr>
      <w:r>
        <w:t xml:space="preserve">Primary Audience</w:t>
      </w:r>
    </w:p>
    <w:p>
      <w:pPr>
        <w:pStyle w:val="Compact"/>
        <w:numPr>
          <w:ilvl w:val="0"/>
          <w:numId w:val="1005"/>
        </w:numPr>
      </w:pPr>
      <w:r>
        <w:t xml:space="preserve">Prospective students (15–18)</w:t>
      </w:r>
    </w:p>
    <w:p>
      <w:pPr>
        <w:pStyle w:val="Compact"/>
        <w:numPr>
          <w:ilvl w:val="0"/>
          <w:numId w:val="1005"/>
        </w:numPr>
      </w:pPr>
      <w:r>
        <w:t xml:space="preserve">Their parents (especially those skeptical of design as a viable career path)}</w:t>
      </w:r>
    </w:p>
    <w:p>
      <w:pPr>
        <w:pStyle w:val="FirstParagraph"/>
      </w:pPr>
      <w:r>
        <w:t xml:space="preserve">Design community messaging appears most strategically placed in the</w:t>
      </w:r>
      <w:r>
        <w:t xml:space="preserve"> </w:t>
      </w:r>
      <w:r>
        <w:rPr>
          <w:b/>
          <w:bCs/>
        </w:rPr>
        <w:t xml:space="preserve">yield phase</w:t>
      </w:r>
      <w:r>
        <w:t xml:space="preserve">, when students are choosing between offers.</w:t>
      </w:r>
    </w:p>
    <w:bookmarkEnd w:id="27"/>
    <w:bookmarkStart w:id="28" w:name="secondary-audience"/>
    <w:p>
      <w:pPr>
        <w:pStyle w:val="Heading3"/>
      </w:pPr>
      <w:r>
        <w:t xml:space="preserve">Secondary Audience</w:t>
      </w:r>
    </w:p>
    <w:p>
      <w:pPr>
        <w:pStyle w:val="Compact"/>
        <w:numPr>
          <w:ilvl w:val="0"/>
          <w:numId w:val="1006"/>
        </w:numPr>
      </w:pPr>
      <w:r>
        <w:t xml:space="preserve">Current students (retention opportunity)</w:t>
      </w:r>
    </w:p>
    <w:p>
      <w:pPr>
        <w:pStyle w:val="FirstParagraph"/>
      </w:pPr>
      <w:r>
        <w:t xml:space="preserve">Exploratory students represent a key overlap segment, as many freshmen enter without a declared major}.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easuring-success"/>
    <w:p>
      <w:pPr>
        <w:pStyle w:val="Heading2"/>
      </w:pPr>
      <w:r>
        <w:t xml:space="preserve">Measuring Success</w:t>
      </w:r>
    </w:p>
    <w:p>
      <w:pPr>
        <w:pStyle w:val="FirstParagraph"/>
      </w:pPr>
      <w:r>
        <w:t xml:space="preserve">Open strategic question:</w:t>
      </w:r>
      <w:r>
        <w:t xml:space="preserve"> </w:t>
      </w:r>
      <w:r>
        <w:t xml:space="preserve">- How do we measure a conceptual theme like</w:t>
      </w:r>
      <w:r>
        <w:t xml:space="preserve"> </w:t>
      </w:r>
      <w:r>
        <w:t xml:space="preserve">“Design Excellence”</w:t>
      </w:r>
      <w:r>
        <w:t xml:space="preserve">?}</w:t>
      </w:r>
    </w:p>
    <w:p>
      <w:pPr>
        <w:pStyle w:val="BodyText"/>
      </w:pPr>
      <w:r>
        <w:t xml:space="preserve">Metrics will likely require both:</w:t>
      </w:r>
      <w:r>
        <w:t xml:space="preserve"> </w:t>
      </w:r>
      <w:r>
        <w:t xml:space="preserve">- Marketing performance indicators (traffic, CTA engagement, yield conversion)</w:t>
      </w:r>
      <w:r>
        <w:t xml:space="preserve"> </w:t>
      </w:r>
      <w:r>
        <w:t xml:space="preserve">- Narrative coherence and thematic alignment across content</w:t>
      </w:r>
    </w:p>
    <w:p>
      <w:pPr>
        <w:pStyle w:val="BodyText"/>
      </w:pPr>
      <w:r>
        <w:t xml:space="preserve">Further definition of initiative scope must precede formal metric design}.</w:t>
      </w:r>
    </w:p>
    <w:p>
      <w:r>
        <w:pict>
          <v:rect style="width:0;height:1.5pt" o:hralign="center" o:hrstd="t" o:hr="t"/>
        </w:pict>
      </w:r>
    </w:p>
    <w:bookmarkEnd w:id="30"/>
    <w:bookmarkStart w:id="31" w:name="action-items"/>
    <w:p>
      <w:pPr>
        <w:pStyle w:val="Heading2"/>
      </w:pPr>
      <w:r>
        <w:t xml:space="preserve">Action Items</w:t>
      </w:r>
    </w:p>
    <w:p>
      <w:pPr>
        <w:pStyle w:val="Compact"/>
        <w:numPr>
          <w:ilvl w:val="0"/>
          <w:numId w:val="1007"/>
        </w:numPr>
      </w:pPr>
      <w:r>
        <w:t xml:space="preserve">Create a shared folder for this theme group}</w:t>
      </w:r>
    </w:p>
    <w:p>
      <w:pPr>
        <w:pStyle w:val="Compact"/>
        <w:numPr>
          <w:ilvl w:val="0"/>
          <w:numId w:val="1007"/>
        </w:numPr>
      </w:pPr>
      <w:r>
        <w:t xml:space="preserve">Liz to upload comprehensive research slides and findings}</w:t>
      </w:r>
    </w:p>
    <w:p>
      <w:pPr>
        <w:pStyle w:val="Compact"/>
        <w:numPr>
          <w:ilvl w:val="0"/>
          <w:numId w:val="1007"/>
        </w:numPr>
      </w:pPr>
      <w:r>
        <w:t xml:space="preserve">Identify differentiators through competitor research and internal program analysis</w:t>
      </w:r>
    </w:p>
    <w:p>
      <w:pPr>
        <w:pStyle w:val="Compact"/>
        <w:numPr>
          <w:ilvl w:val="0"/>
          <w:numId w:val="1007"/>
        </w:numPr>
      </w:pPr>
      <w:r>
        <w:t xml:space="preserve">Evaluate career growth sectors to inform story selection</w:t>
      </w:r>
    </w:p>
    <w:p>
      <w:pPr>
        <w:pStyle w:val="Compact"/>
        <w:numPr>
          <w:ilvl w:val="0"/>
          <w:numId w:val="1007"/>
        </w:numPr>
      </w:pPr>
      <w:r>
        <w:t xml:space="preserve">Develop cohesive CTA language for design-focused content</w:t>
      </w:r>
    </w:p>
    <w:p>
      <w:r>
        <w:pict>
          <v:rect style="width:0;height:1.5pt" o:hralign="center" o:hrstd="t" o:hr="t"/>
        </w:pict>
      </w:r>
    </w:p>
    <w:bookmarkEnd w:id="31"/>
    <w:bookmarkStart w:id="32" w:name="strategic-tensions-to-resolve"/>
    <w:p>
      <w:pPr>
        <w:pStyle w:val="Heading2"/>
      </w:pPr>
      <w:r>
        <w:t xml:space="preserve">Strategic Tensions to Resolve</w:t>
      </w:r>
    </w:p>
    <w:p>
      <w:pPr>
        <w:pStyle w:val="Compact"/>
        <w:numPr>
          <w:ilvl w:val="0"/>
          <w:numId w:val="1008"/>
        </w:numPr>
      </w:pPr>
      <w:r>
        <w:t xml:space="preserve">Do we lead with program-specific messaging or broader design culture?</w:t>
      </w:r>
    </w:p>
    <w:p>
      <w:pPr>
        <w:pStyle w:val="Compact"/>
        <w:numPr>
          <w:ilvl w:val="0"/>
          <w:numId w:val="1008"/>
        </w:numPr>
      </w:pPr>
      <w:r>
        <w:t xml:space="preserve">At what funnel stage should interdisciplinary design identity be emphasized?}</w:t>
      </w:r>
    </w:p>
    <w:p>
      <w:pPr>
        <w:pStyle w:val="Compact"/>
        <w:numPr>
          <w:ilvl w:val="0"/>
          <w:numId w:val="1008"/>
        </w:numPr>
      </w:pPr>
      <w:r>
        <w:t xml:space="preserve">How do we differentiate career outcomes from competitor claims?</w:t>
      </w:r>
    </w:p>
    <w:p>
      <w:pPr>
        <w:pStyle w:val="Compact"/>
        <w:numPr>
          <w:ilvl w:val="0"/>
          <w:numId w:val="1008"/>
        </w:numPr>
      </w:pPr>
      <w:r>
        <w:t xml:space="preserve">What narrative through-line connects CAE and CCI under one umbrella without flattening their distinctions?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integrated document reflects both transcript discussion and Kaitlyn’s structured notes, aligning research insight with forward strategy.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2026-02-25T19:48:11Z</dcterms:created>
  <dcterms:modified xsi:type="dcterms:W3CDTF">2026-02-25T19:48:11Z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