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Create a Notice of Hearing</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Create a Notice of Hearing.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Create Notice of Hearing.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