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60C" w:rsidRPr="0024360C" w:rsidRDefault="0024360C" w:rsidP="0024360C">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24360C">
        <w:rPr>
          <w:rFonts w:ascii="Times New Roman" w:eastAsia="Times New Roman" w:hAnsi="Times New Roman" w:cs="Times New Roman"/>
          <w:b/>
          <w:bCs/>
          <w:sz w:val="36"/>
          <w:szCs w:val="36"/>
        </w:rPr>
        <w:t>Figure 1. Conceptual Radar Model of DET</w:t>
      </w:r>
    </w:p>
    <w:p w:rsidR="00A61DCA" w:rsidRDefault="00A61DCA" w:rsidP="00A61DCA">
      <w:pPr>
        <w:bidi w:val="0"/>
      </w:pPr>
    </w:p>
    <w:p w:rsidR="00186382" w:rsidRDefault="00A61DCA" w:rsidP="00A61DCA">
      <w:pPr>
        <w:bidi w:val="0"/>
      </w:pPr>
      <w:r w:rsidRPr="00A61DCA">
        <w:rPr>
          <w:noProof/>
        </w:rPr>
        <w:drawing>
          <wp:inline distT="0" distB="0" distL="0" distR="0">
            <wp:extent cx="5759450" cy="5094165"/>
            <wp:effectExtent l="0" t="0" r="0" b="0"/>
            <wp:docPr id="1" name="Picture 1" descr="C:\Users\A.C\Downloads\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Downloads\output.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59450" cy="5094165"/>
                    </a:xfrm>
                    <a:prstGeom prst="rect">
                      <a:avLst/>
                    </a:prstGeom>
                    <a:noFill/>
                    <a:ln>
                      <a:noFill/>
                    </a:ln>
                  </pic:spPr>
                </pic:pic>
              </a:graphicData>
            </a:graphic>
          </wp:inline>
        </w:drawing>
      </w:r>
    </w:p>
    <w:p w:rsidR="0024360C" w:rsidRDefault="0024360C" w:rsidP="0024360C">
      <w:pPr>
        <w:bidi w:val="0"/>
      </w:pPr>
    </w:p>
    <w:p w:rsidR="0024360C" w:rsidRDefault="0024360C" w:rsidP="0024360C">
      <w:pPr>
        <w:pStyle w:val="NormalWeb"/>
        <w:jc w:val="both"/>
      </w:pPr>
      <w:r>
        <w:rPr>
          <w:rStyle w:val="Strong"/>
        </w:rPr>
        <w:t>Caption:</w:t>
      </w:r>
      <w:r>
        <w:t xml:space="preserve"> Conceptual radar model of the Disturbed Equilibrium Theory (DET). The five axes represent the systemic stages: </w:t>
      </w:r>
      <w:r>
        <w:rPr>
          <w:rStyle w:val="Emphasis"/>
        </w:rPr>
        <w:t>Equilibrium → Disturbance → Reaction → Collapse → Renewal</w:t>
      </w:r>
      <w:r>
        <w:t xml:space="preserve">. The </w:t>
      </w:r>
      <w:r>
        <w:rPr>
          <w:rStyle w:val="Strong"/>
        </w:rPr>
        <w:t>red pathway</w:t>
      </w:r>
      <w:r>
        <w:t xml:space="preserve"> illustrates a trajectory toward collapse, while the </w:t>
      </w:r>
      <w:r>
        <w:rPr>
          <w:rStyle w:val="Strong"/>
        </w:rPr>
        <w:t>green pathway</w:t>
      </w:r>
      <w:r>
        <w:t xml:space="preserve"> shows potential renewal and establishment of a new equilibrium.</w:t>
      </w:r>
    </w:p>
    <w:p w:rsidR="0024360C" w:rsidRDefault="0024360C" w:rsidP="0024360C">
      <w:pPr>
        <w:bidi w:val="0"/>
      </w:pPr>
    </w:p>
    <w:p w:rsidR="00A61DCA" w:rsidRDefault="00A61DCA" w:rsidP="00A61DCA">
      <w:pPr>
        <w:bidi w:val="0"/>
      </w:pPr>
    </w:p>
    <w:p w:rsidR="00A61DCA" w:rsidRDefault="00A61DCA" w:rsidP="00A61DCA">
      <w:pPr>
        <w:bidi w:val="0"/>
      </w:pPr>
    </w:p>
    <w:p w:rsidR="00A61DCA" w:rsidRDefault="00A61DCA" w:rsidP="00A61DCA">
      <w:pPr>
        <w:bidi w:val="0"/>
      </w:pPr>
    </w:p>
    <w:p w:rsidR="00A61DCA" w:rsidRDefault="00A61DCA" w:rsidP="00A61DCA">
      <w:pPr>
        <w:bidi w:val="0"/>
      </w:pPr>
    </w:p>
    <w:p w:rsidR="00A61DCA" w:rsidRDefault="00A61DCA" w:rsidP="00A61DCA">
      <w:pPr>
        <w:bidi w:val="0"/>
      </w:pPr>
    </w:p>
    <w:p w:rsidR="0024360C" w:rsidRPr="0024360C" w:rsidRDefault="0024360C" w:rsidP="0024360C">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24360C">
        <w:rPr>
          <w:rFonts w:ascii="Times New Roman" w:eastAsia="Times New Roman" w:hAnsi="Times New Roman" w:cs="Times New Roman"/>
          <w:b/>
          <w:bCs/>
          <w:sz w:val="36"/>
          <w:szCs w:val="36"/>
        </w:rPr>
        <w:lastRenderedPageBreak/>
        <w:t>Figure 2. Flow Diagram of the Disturbed Equilibrium Index (DEI)</w:t>
      </w:r>
    </w:p>
    <w:p w:rsidR="0024360C" w:rsidRDefault="0024360C" w:rsidP="0024360C">
      <w:pPr>
        <w:bidi w:val="0"/>
      </w:pPr>
    </w:p>
    <w:p w:rsidR="00A61DCA" w:rsidRDefault="00A61DCA" w:rsidP="00A61DCA">
      <w:pPr>
        <w:bidi w:val="0"/>
      </w:pPr>
      <w:r w:rsidRPr="00A61DCA">
        <w:rPr>
          <w:noProof/>
        </w:rPr>
        <w:drawing>
          <wp:inline distT="0" distB="0" distL="0" distR="0">
            <wp:extent cx="5759450" cy="5408446"/>
            <wp:effectExtent l="0" t="0" r="0" b="1905"/>
            <wp:docPr id="2" name="Picture 2" descr="C:\Users\A.C\Downloads\outpu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Downloads\output (2).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9450" cy="5408446"/>
                    </a:xfrm>
                    <a:prstGeom prst="rect">
                      <a:avLst/>
                    </a:prstGeom>
                    <a:noFill/>
                    <a:ln>
                      <a:noFill/>
                    </a:ln>
                  </pic:spPr>
                </pic:pic>
              </a:graphicData>
            </a:graphic>
          </wp:inline>
        </w:drawing>
      </w:r>
    </w:p>
    <w:p w:rsidR="0024360C" w:rsidRDefault="0024360C" w:rsidP="0024360C">
      <w:pPr>
        <w:bidi w:val="0"/>
      </w:pPr>
    </w:p>
    <w:p w:rsidR="0024360C" w:rsidRDefault="0024360C" w:rsidP="0024360C">
      <w:pPr>
        <w:pStyle w:val="NormalWeb"/>
        <w:jc w:val="both"/>
      </w:pPr>
      <w:r>
        <w:rPr>
          <w:rStyle w:val="Strong"/>
        </w:rPr>
        <w:t>Caption:</w:t>
      </w:r>
      <w:r>
        <w:t xml:space="preserve"> Flow diagram of the Disturbed Equilibrium Index (DEI). Inputs include </w:t>
      </w:r>
      <w:r>
        <w:rPr>
          <w:rStyle w:val="Strong"/>
        </w:rPr>
        <w:t>H (Human Pressure)</w:t>
      </w:r>
      <w:r>
        <w:t xml:space="preserve"> and </w:t>
      </w:r>
      <w:r>
        <w:rPr>
          <w:rStyle w:val="Strong"/>
        </w:rPr>
        <w:t>A (Exogenous Stressors)</w:t>
      </w:r>
      <w:r>
        <w:t xml:space="preserve">, with κ weighting the relative impact of A. These combine with </w:t>
      </w:r>
      <w:r>
        <w:rPr>
          <w:rStyle w:val="Strong"/>
        </w:rPr>
        <w:t>R (Resilience)</w:t>
      </w:r>
      <w:r>
        <w:t xml:space="preserve"> as a denominator, producing the operational formula: DEI(t) = (H + </w:t>
      </w:r>
      <w:proofErr w:type="spellStart"/>
      <w:r>
        <w:t>κA</w:t>
      </w:r>
      <w:proofErr w:type="spellEnd"/>
      <w:r>
        <w:t>)/R. The output is represented as a risk scale (Green &lt;0.7, Yellow 0.7–1.0, Orange 1.0–1.3, Red &gt;1.3), providing an intuitive classification for ecosystem states from safe to crisis regimes.</w:t>
      </w:r>
    </w:p>
    <w:p w:rsidR="0024360C" w:rsidRDefault="0024360C" w:rsidP="0024360C">
      <w:pPr>
        <w:bidi w:val="0"/>
      </w:pPr>
    </w:p>
    <w:p w:rsidR="0024360C" w:rsidRDefault="0024360C" w:rsidP="0024360C">
      <w:pPr>
        <w:bidi w:val="0"/>
      </w:pPr>
    </w:p>
    <w:p w:rsidR="0024360C" w:rsidRDefault="0024360C" w:rsidP="0024360C">
      <w:pPr>
        <w:bidi w:val="0"/>
      </w:pPr>
    </w:p>
    <w:p w:rsidR="0024360C" w:rsidRPr="0024360C" w:rsidRDefault="0024360C" w:rsidP="0024360C">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24360C">
        <w:rPr>
          <w:rFonts w:ascii="Times New Roman" w:eastAsia="Times New Roman" w:hAnsi="Times New Roman" w:cs="Times New Roman"/>
          <w:b/>
          <w:bCs/>
          <w:sz w:val="36"/>
          <w:szCs w:val="36"/>
        </w:rPr>
        <w:lastRenderedPageBreak/>
        <w:t>Figure 3. Comparative Radar Chart of Case Studies</w:t>
      </w:r>
    </w:p>
    <w:p w:rsidR="00A61DCA" w:rsidRDefault="00A61DCA" w:rsidP="00A61DCA">
      <w:pPr>
        <w:bidi w:val="0"/>
      </w:pPr>
    </w:p>
    <w:p w:rsidR="0024360C" w:rsidRDefault="0024360C" w:rsidP="0024360C">
      <w:pPr>
        <w:bidi w:val="0"/>
      </w:pPr>
    </w:p>
    <w:p w:rsidR="00A61DCA" w:rsidRDefault="00A61DCA" w:rsidP="00A61DCA">
      <w:pPr>
        <w:bidi w:val="0"/>
      </w:pPr>
      <w:r>
        <w:rPr>
          <w:noProof/>
        </w:rPr>
        <w:drawing>
          <wp:inline distT="0" distB="0" distL="0" distR="0">
            <wp:extent cx="5759450" cy="4934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 (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9450" cy="4934585"/>
                    </a:xfrm>
                    <a:prstGeom prst="rect">
                      <a:avLst/>
                    </a:prstGeom>
                  </pic:spPr>
                </pic:pic>
              </a:graphicData>
            </a:graphic>
          </wp:inline>
        </w:drawing>
      </w:r>
    </w:p>
    <w:p w:rsidR="0024360C" w:rsidRDefault="0024360C" w:rsidP="0024360C">
      <w:pPr>
        <w:bidi w:val="0"/>
      </w:pPr>
    </w:p>
    <w:p w:rsidR="0024360C" w:rsidRDefault="0024360C" w:rsidP="0024360C">
      <w:pPr>
        <w:pStyle w:val="NormalWeb"/>
        <w:jc w:val="both"/>
      </w:pPr>
      <w:r>
        <w:rPr>
          <w:rStyle w:val="Strong"/>
        </w:rPr>
        <w:t>Caption:</w:t>
      </w:r>
      <w:r>
        <w:t xml:space="preserve"> Comparative radar chart of six case studies (Lake Urmia, Aral Sea, Shiraz Flood, Amazon Rainforest, Great Barrier Reef, Hurricane Ian) under the Disturbed Equilibrium Index (DEI) framework. The axes represent the three components </w:t>
      </w:r>
      <w:r>
        <w:rPr>
          <w:rStyle w:val="Strong"/>
        </w:rPr>
        <w:t>H (Human Pressure)</w:t>
      </w:r>
      <w:r>
        <w:t xml:space="preserve">, </w:t>
      </w:r>
      <w:r>
        <w:rPr>
          <w:rStyle w:val="Strong"/>
        </w:rPr>
        <w:t>A (Exogenous Stress)</w:t>
      </w:r>
      <w:r>
        <w:t xml:space="preserve">, and </w:t>
      </w:r>
      <w:r>
        <w:rPr>
          <w:rStyle w:val="Strong"/>
        </w:rPr>
        <w:t>R (Resilience)</w:t>
      </w:r>
      <w:r>
        <w:t>. Red-shaded areas indicate high DEI values (collapse/crisis regimes), while green areas highlight more resilient trajectories. This figure visualizes how different ecosystems exhibit divergent pathways under DET, reinforcing the global applicability of the DEI framework.</w:t>
      </w:r>
    </w:p>
    <w:p w:rsidR="0024360C" w:rsidRDefault="0024360C" w:rsidP="0024360C">
      <w:pPr>
        <w:bidi w:val="0"/>
      </w:pPr>
    </w:p>
    <w:p w:rsidR="00A61DCA" w:rsidRDefault="00A61DCA" w:rsidP="00A61DCA">
      <w:pPr>
        <w:bidi w:val="0"/>
      </w:pPr>
    </w:p>
    <w:p w:rsidR="00A61DCA" w:rsidRDefault="00A61DCA" w:rsidP="00A61DCA">
      <w:pPr>
        <w:bidi w:val="0"/>
      </w:pPr>
    </w:p>
    <w:p w:rsidR="00A61DCA" w:rsidRDefault="00A61DCA" w:rsidP="00A61DCA">
      <w:pPr>
        <w:bidi w:val="0"/>
      </w:pPr>
    </w:p>
    <w:p w:rsidR="0024360C" w:rsidRPr="0024360C" w:rsidRDefault="0024360C" w:rsidP="0024360C">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24360C">
        <w:rPr>
          <w:rFonts w:ascii="Times New Roman" w:eastAsia="Times New Roman" w:hAnsi="Times New Roman" w:cs="Times New Roman"/>
          <w:b/>
          <w:bCs/>
          <w:sz w:val="36"/>
          <w:szCs w:val="36"/>
        </w:rPr>
        <w:lastRenderedPageBreak/>
        <w:t>Figure 4. Policy Action Pathway under DET/DEI</w:t>
      </w:r>
    </w:p>
    <w:p w:rsidR="00A61DCA" w:rsidRDefault="00A61DCA" w:rsidP="00A61DCA">
      <w:pPr>
        <w:bidi w:val="0"/>
      </w:pPr>
    </w:p>
    <w:p w:rsidR="00A61DCA" w:rsidRDefault="00A61DCA" w:rsidP="00A61DCA">
      <w:pPr>
        <w:bidi w:val="0"/>
      </w:pPr>
    </w:p>
    <w:p w:rsidR="00A61DCA" w:rsidRDefault="00A61DCA" w:rsidP="00A61DCA">
      <w:pPr>
        <w:bidi w:val="0"/>
      </w:pPr>
      <w:bookmarkStart w:id="0" w:name="_GoBack"/>
      <w:r w:rsidRPr="00A61DCA">
        <w:rPr>
          <w:noProof/>
        </w:rPr>
        <w:drawing>
          <wp:inline distT="0" distB="0" distL="0" distR="0">
            <wp:extent cx="5759450" cy="4918618"/>
            <wp:effectExtent l="0" t="0" r="0" b="0"/>
            <wp:docPr id="3" name="Picture 3" descr="C:\Users\A.C\Downloads\outpu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Downloads\output (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9450" cy="4918618"/>
                    </a:xfrm>
                    <a:prstGeom prst="rect">
                      <a:avLst/>
                    </a:prstGeom>
                    <a:noFill/>
                    <a:ln>
                      <a:noFill/>
                    </a:ln>
                  </pic:spPr>
                </pic:pic>
              </a:graphicData>
            </a:graphic>
          </wp:inline>
        </w:drawing>
      </w:r>
      <w:bookmarkEnd w:id="0"/>
    </w:p>
    <w:p w:rsidR="0024360C" w:rsidRDefault="0024360C" w:rsidP="0024360C">
      <w:pPr>
        <w:pStyle w:val="NormalWeb"/>
        <w:jc w:val="both"/>
      </w:pPr>
      <w:r>
        <w:rPr>
          <w:rStyle w:val="Strong"/>
        </w:rPr>
        <w:t>Caption:</w:t>
      </w:r>
      <w:r>
        <w:t xml:space="preserve"> Policy action pathway derived from DET/DEI. </w:t>
      </w:r>
      <w:r>
        <w:rPr>
          <w:rStyle w:val="Strong"/>
        </w:rPr>
        <w:t>Input:</w:t>
      </w:r>
      <w:r>
        <w:t xml:space="preserve"> Crisis state (DEI ≥ 1, red). </w:t>
      </w:r>
      <w:r>
        <w:rPr>
          <w:rStyle w:val="Strong"/>
        </w:rPr>
        <w:t>Middle layer:</w:t>
      </w:r>
      <w:r>
        <w:t xml:space="preserve"> Three intervention domains—</w:t>
      </w:r>
      <w:r>
        <w:rPr>
          <w:rStyle w:val="Strong"/>
        </w:rPr>
        <w:t>Reduce H</w:t>
      </w:r>
      <w:r>
        <w:t xml:space="preserve"> (limit extraction, control pollution, manage land use), </w:t>
      </w:r>
      <w:r>
        <w:rPr>
          <w:rStyle w:val="Strong"/>
        </w:rPr>
        <w:t>Increase R</w:t>
      </w:r>
      <w:r>
        <w:t xml:space="preserve"> (restore wetlands, enhance connectivity, </w:t>
      </w:r>
      <w:proofErr w:type="spellStart"/>
      <w:r>
        <w:t>NbS</w:t>
      </w:r>
      <w:proofErr w:type="spellEnd"/>
      <w:r>
        <w:t xml:space="preserve"> solutions), and </w:t>
      </w:r>
      <w:r>
        <w:rPr>
          <w:rStyle w:val="Strong"/>
        </w:rPr>
        <w:t>Preparedness</w:t>
      </w:r>
      <w:r>
        <w:t xml:space="preserve"> (early warning, evacuation, resilient infrastructure). </w:t>
      </w:r>
      <w:r>
        <w:rPr>
          <w:rStyle w:val="Strong"/>
        </w:rPr>
        <w:t>Output:</w:t>
      </w:r>
      <w:r>
        <w:t xml:space="preserve"> Restored equilibrium (DEI &lt; 1, green). Black arrows show progression from crisis to interventions; green arrows highlight recovery pathways toward restored balance.</w:t>
      </w:r>
    </w:p>
    <w:p w:rsidR="0024360C" w:rsidRDefault="0024360C" w:rsidP="0024360C">
      <w:pPr>
        <w:bidi w:val="0"/>
      </w:pPr>
    </w:p>
    <w:p w:rsidR="00A61DCA" w:rsidRDefault="00A61DCA" w:rsidP="00A61DCA">
      <w:pPr>
        <w:bidi w:val="0"/>
      </w:pPr>
    </w:p>
    <w:sectPr w:rsidR="00A61DCA" w:rsidSect="00993348">
      <w:pgSz w:w="11906" w:h="16838" w:code="9"/>
      <w:pgMar w:top="1440" w:right="1418" w:bottom="1440" w:left="1418"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DCA"/>
    <w:rsid w:val="00186382"/>
    <w:rsid w:val="0024360C"/>
    <w:rsid w:val="007C7805"/>
    <w:rsid w:val="00993348"/>
    <w:rsid w:val="009B668C"/>
    <w:rsid w:val="00A61DCA"/>
    <w:rsid w:val="00BC05F0"/>
    <w:rsid w:val="00E37CE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381F"/>
  <w15:chartTrackingRefBased/>
  <w15:docId w15:val="{64A9F321-3DDD-4CB5-94F3-99D3D6BFC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bidi/>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360C"/>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24360C"/>
    <w:rPr>
      <w:b/>
      <w:bCs/>
    </w:rPr>
  </w:style>
  <w:style w:type="character" w:styleId="Emphasis">
    <w:name w:val="Emphasis"/>
    <w:basedOn w:val="DefaultParagraphFont"/>
    <w:uiPriority w:val="20"/>
    <w:qFormat/>
    <w:rsid w:val="002436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80314">
      <w:bodyDiv w:val="1"/>
      <w:marLeft w:val="0"/>
      <w:marRight w:val="0"/>
      <w:marTop w:val="0"/>
      <w:marBottom w:val="0"/>
      <w:divBdr>
        <w:top w:val="none" w:sz="0" w:space="0" w:color="auto"/>
        <w:left w:val="none" w:sz="0" w:space="0" w:color="auto"/>
        <w:bottom w:val="none" w:sz="0" w:space="0" w:color="auto"/>
        <w:right w:val="none" w:sz="0" w:space="0" w:color="auto"/>
      </w:divBdr>
    </w:div>
    <w:div w:id="72968941">
      <w:bodyDiv w:val="1"/>
      <w:marLeft w:val="0"/>
      <w:marRight w:val="0"/>
      <w:marTop w:val="0"/>
      <w:marBottom w:val="0"/>
      <w:divBdr>
        <w:top w:val="none" w:sz="0" w:space="0" w:color="auto"/>
        <w:left w:val="none" w:sz="0" w:space="0" w:color="auto"/>
        <w:bottom w:val="none" w:sz="0" w:space="0" w:color="auto"/>
        <w:right w:val="none" w:sz="0" w:space="0" w:color="auto"/>
      </w:divBdr>
    </w:div>
    <w:div w:id="496505116">
      <w:bodyDiv w:val="1"/>
      <w:marLeft w:val="0"/>
      <w:marRight w:val="0"/>
      <w:marTop w:val="0"/>
      <w:marBottom w:val="0"/>
      <w:divBdr>
        <w:top w:val="none" w:sz="0" w:space="0" w:color="auto"/>
        <w:left w:val="none" w:sz="0" w:space="0" w:color="auto"/>
        <w:bottom w:val="none" w:sz="0" w:space="0" w:color="auto"/>
        <w:right w:val="none" w:sz="0" w:space="0" w:color="auto"/>
      </w:divBdr>
    </w:div>
    <w:div w:id="505899004">
      <w:bodyDiv w:val="1"/>
      <w:marLeft w:val="0"/>
      <w:marRight w:val="0"/>
      <w:marTop w:val="0"/>
      <w:marBottom w:val="0"/>
      <w:divBdr>
        <w:top w:val="none" w:sz="0" w:space="0" w:color="auto"/>
        <w:left w:val="none" w:sz="0" w:space="0" w:color="auto"/>
        <w:bottom w:val="none" w:sz="0" w:space="0" w:color="auto"/>
        <w:right w:val="none" w:sz="0" w:space="0" w:color="auto"/>
      </w:divBdr>
    </w:div>
    <w:div w:id="736391757">
      <w:bodyDiv w:val="1"/>
      <w:marLeft w:val="0"/>
      <w:marRight w:val="0"/>
      <w:marTop w:val="0"/>
      <w:marBottom w:val="0"/>
      <w:divBdr>
        <w:top w:val="none" w:sz="0" w:space="0" w:color="auto"/>
        <w:left w:val="none" w:sz="0" w:space="0" w:color="auto"/>
        <w:bottom w:val="none" w:sz="0" w:space="0" w:color="auto"/>
        <w:right w:val="none" w:sz="0" w:space="0" w:color="auto"/>
      </w:divBdr>
    </w:div>
    <w:div w:id="856895296">
      <w:bodyDiv w:val="1"/>
      <w:marLeft w:val="0"/>
      <w:marRight w:val="0"/>
      <w:marTop w:val="0"/>
      <w:marBottom w:val="0"/>
      <w:divBdr>
        <w:top w:val="none" w:sz="0" w:space="0" w:color="auto"/>
        <w:left w:val="none" w:sz="0" w:space="0" w:color="auto"/>
        <w:bottom w:val="none" w:sz="0" w:space="0" w:color="auto"/>
        <w:right w:val="none" w:sz="0" w:space="0" w:color="auto"/>
      </w:divBdr>
    </w:div>
    <w:div w:id="910847096">
      <w:bodyDiv w:val="1"/>
      <w:marLeft w:val="0"/>
      <w:marRight w:val="0"/>
      <w:marTop w:val="0"/>
      <w:marBottom w:val="0"/>
      <w:divBdr>
        <w:top w:val="none" w:sz="0" w:space="0" w:color="auto"/>
        <w:left w:val="none" w:sz="0" w:space="0" w:color="auto"/>
        <w:bottom w:val="none" w:sz="0" w:space="0" w:color="auto"/>
        <w:right w:val="none" w:sz="0" w:space="0" w:color="auto"/>
      </w:divBdr>
    </w:div>
    <w:div w:id="170617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dc:creator>
  <cp:keywords/>
  <dc:description/>
  <cp:lastModifiedBy>A.C</cp:lastModifiedBy>
  <cp:revision>2</cp:revision>
  <dcterms:created xsi:type="dcterms:W3CDTF">2025-09-11T11:26:00Z</dcterms:created>
  <dcterms:modified xsi:type="dcterms:W3CDTF">2025-09-11T11:49:00Z</dcterms:modified>
</cp:coreProperties>
</file>