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E8" w:rsidRDefault="00B61CE8" w:rsidP="00B6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1AFC">
        <w:rPr>
          <w:rFonts w:ascii="Times New Roman" w:eastAsia="Times New Roman" w:hAnsi="Times New Roman" w:cs="Times New Roman"/>
          <w:b/>
          <w:bCs/>
          <w:sz w:val="27"/>
          <w:szCs w:val="27"/>
        </w:rPr>
        <w:t>Table 1. Comparative overview of existing sustainability and livability frameworks versus the Sustainable Livability Index (SLI)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588"/>
        <w:gridCol w:w="1629"/>
        <w:gridCol w:w="1887"/>
        <w:gridCol w:w="2392"/>
      </w:tblGrid>
      <w:tr w:rsidR="00B61CE8" w:rsidRPr="002D58DE" w:rsidTr="00667C82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58DE">
              <w:rPr>
                <w:rFonts w:ascii="Times New Roman" w:eastAsia="Times New Roman" w:hAnsi="Times New Roman" w:cs="Times New Roman"/>
                <w:b/>
                <w:bCs/>
              </w:rPr>
              <w:t>Framework / Index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58DE">
              <w:rPr>
                <w:rFonts w:ascii="Times New Roman" w:eastAsia="Times New Roman" w:hAnsi="Times New Roman" w:cs="Times New Roman"/>
                <w:b/>
                <w:bCs/>
              </w:rPr>
              <w:t>Core Dimensions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58DE">
              <w:rPr>
                <w:rFonts w:ascii="Times New Roman" w:eastAsia="Times New Roman" w:hAnsi="Times New Roman" w:cs="Times New Roman"/>
                <w:b/>
                <w:bCs/>
              </w:rPr>
              <w:t>Strengths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58DE">
              <w:rPr>
                <w:rFonts w:ascii="Times New Roman" w:eastAsia="Times New Roman" w:hAnsi="Times New Roman" w:cs="Times New Roman"/>
                <w:b/>
                <w:bCs/>
              </w:rPr>
              <w:t>Limitations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58DE">
              <w:rPr>
                <w:rFonts w:ascii="Times New Roman" w:eastAsia="Times New Roman" w:hAnsi="Times New Roman" w:cs="Times New Roman"/>
                <w:b/>
                <w:bCs/>
              </w:rPr>
              <w:t>Added value of SLI</w:t>
            </w:r>
          </w:p>
        </w:tc>
      </w:tr>
      <w:tr w:rsidR="00B61CE8" w:rsidRPr="002D58DE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  <w:b/>
                <w:bCs/>
              </w:rPr>
              <w:t>Human Development Index (HDI)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Health, education, income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Widely recognized, simple, policy relevance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Ignores ecological feedbacks; no psychosocial dimension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Integrates ecological and psychosocial indicators alongside social–economic ones</w:t>
            </w:r>
          </w:p>
        </w:tc>
      </w:tr>
      <w:tr w:rsidR="00B61CE8" w:rsidRPr="002D58DE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  <w:b/>
                <w:bCs/>
              </w:rPr>
              <w:t>Ecological Footprint (EF)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 xml:space="preserve">Resource use vs. </w:t>
            </w:r>
            <w:proofErr w:type="spellStart"/>
            <w:r w:rsidRPr="002D58DE">
              <w:rPr>
                <w:rFonts w:ascii="Times New Roman" w:eastAsia="Times New Roman" w:hAnsi="Times New Roman" w:cs="Times New Roman"/>
              </w:rPr>
              <w:t>biocapacity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Clear measure of ecological overshoot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Limited social dimension; does not capture governance or well-being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Combines ecological pressure with human well-being and governance</w:t>
            </w:r>
          </w:p>
        </w:tc>
      </w:tr>
      <w:tr w:rsidR="00B61CE8" w:rsidRPr="002D58DE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  <w:b/>
                <w:bCs/>
              </w:rPr>
              <w:t>Environmental Performance Index (EPI)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Air, water, biodiversity, climate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Quantitative, comparable across nations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Focuses only on environment; excludes human/social feedbacks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Embeds environmental metrics into coupled human–environment system</w:t>
            </w:r>
          </w:p>
        </w:tc>
      </w:tr>
      <w:tr w:rsidR="00B61CE8" w:rsidRPr="002D58DE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  <w:b/>
                <w:bCs/>
              </w:rPr>
              <w:t>Well-being Index (OECD, UN frameworks)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Subjective life satisfaction, health, safety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Captures psychosocial well-being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Weak ecological integration; often subjective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Links psychosocial well-being to ecological and governance conditions</w:t>
            </w:r>
          </w:p>
        </w:tc>
      </w:tr>
      <w:tr w:rsidR="00B61CE8" w:rsidRPr="002D58DE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  <w:b/>
                <w:bCs/>
              </w:rPr>
              <w:t>Sustainable Livability Index (SLI)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Ecological, human, governance, psychosocial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Holistic, multi-scalar, predictive, policy-oriented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Requires multi-source data; novel approach needing validation</w:t>
            </w:r>
          </w:p>
        </w:tc>
        <w:tc>
          <w:tcPr>
            <w:tcW w:w="0" w:type="auto"/>
            <w:vAlign w:val="center"/>
            <w:hideMark/>
          </w:tcPr>
          <w:p w:rsidR="00B61CE8" w:rsidRPr="002D58DE" w:rsidRDefault="00B61CE8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D58DE">
              <w:rPr>
                <w:rFonts w:ascii="Times New Roman" w:eastAsia="Times New Roman" w:hAnsi="Times New Roman" w:cs="Times New Roman"/>
              </w:rPr>
              <w:t>Provides integrative and dynamic measure capturing coupled human–environment–psychosocial systems</w:t>
            </w:r>
          </w:p>
        </w:tc>
      </w:tr>
    </w:tbl>
    <w:p w:rsidR="00B61CE8" w:rsidRPr="00C71AFC" w:rsidRDefault="00B61CE8" w:rsidP="00B61C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730BA" w:rsidRDefault="004D0848">
      <w:pPr>
        <w:rPr>
          <w:rtl/>
        </w:rPr>
      </w:pPr>
    </w:p>
    <w:p w:rsidR="005445A1" w:rsidRDefault="005445A1">
      <w:pPr>
        <w:rPr>
          <w:rtl/>
        </w:rPr>
      </w:pPr>
    </w:p>
    <w:p w:rsidR="005445A1" w:rsidRDefault="005445A1">
      <w:pPr>
        <w:rPr>
          <w:rtl/>
        </w:rPr>
      </w:pPr>
    </w:p>
    <w:p w:rsidR="005445A1" w:rsidRDefault="005445A1">
      <w:pPr>
        <w:rPr>
          <w:rtl/>
        </w:rPr>
      </w:pPr>
    </w:p>
    <w:p w:rsidR="005445A1" w:rsidRDefault="005445A1">
      <w:pPr>
        <w:rPr>
          <w:rtl/>
        </w:rPr>
      </w:pPr>
    </w:p>
    <w:p w:rsidR="005445A1" w:rsidRDefault="005445A1">
      <w:pPr>
        <w:rPr>
          <w:rtl/>
        </w:rPr>
      </w:pPr>
    </w:p>
    <w:p w:rsidR="005445A1" w:rsidRDefault="005445A1">
      <w:pPr>
        <w:rPr>
          <w:rtl/>
        </w:rPr>
      </w:pPr>
    </w:p>
    <w:p w:rsidR="005445A1" w:rsidRDefault="005445A1">
      <w:pPr>
        <w:rPr>
          <w:rtl/>
        </w:rPr>
      </w:pPr>
    </w:p>
    <w:p w:rsidR="005445A1" w:rsidRDefault="005445A1">
      <w:pPr>
        <w:rPr>
          <w:rtl/>
        </w:rPr>
      </w:pPr>
    </w:p>
    <w:p w:rsidR="005445A1" w:rsidRDefault="005445A1">
      <w:pPr>
        <w:rPr>
          <w:rtl/>
        </w:rPr>
      </w:pPr>
    </w:p>
    <w:p w:rsidR="005445A1" w:rsidRDefault="005445A1">
      <w:pPr>
        <w:rPr>
          <w:rtl/>
        </w:rPr>
      </w:pPr>
    </w:p>
    <w:p w:rsidR="005445A1" w:rsidRPr="00B67C31" w:rsidRDefault="005445A1" w:rsidP="005445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7C3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Table 2. Dimensions and indicators of the Sustainable Livability Index (SLI)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2784"/>
        <w:gridCol w:w="2584"/>
        <w:gridCol w:w="2400"/>
      </w:tblGrid>
      <w:tr w:rsidR="005445A1" w:rsidRPr="00B67C31" w:rsidTr="00667C82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7C31">
              <w:rPr>
                <w:rFonts w:ascii="Times New Roman" w:eastAsia="Times New Roman" w:hAnsi="Times New Roman" w:cs="Times New Roman"/>
                <w:b/>
                <w:bCs/>
              </w:rPr>
              <w:t>Dimension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7C31">
              <w:rPr>
                <w:rFonts w:ascii="Times New Roman" w:eastAsia="Times New Roman" w:hAnsi="Times New Roman" w:cs="Times New Roman"/>
                <w:b/>
                <w:bCs/>
              </w:rPr>
              <w:t>Indicators (examples)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7C3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67C31">
              <w:rPr>
                <w:rFonts w:ascii="Times New Roman" w:eastAsia="Times New Roman" w:hAnsi="Times New Roman" w:cs="Times New Roman"/>
                <w:b/>
                <w:bCs/>
              </w:rPr>
              <w:t>Data sources</w:t>
            </w:r>
          </w:p>
        </w:tc>
      </w:tr>
      <w:tr w:rsidR="005445A1" w:rsidRPr="00B67C31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  <w:b/>
                <w:bCs/>
              </w:rPr>
              <w:t>Ecological</w:t>
            </w:r>
          </w:p>
        </w:tc>
        <w:tc>
          <w:tcPr>
            <w:tcW w:w="0" w:type="auto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</w:rPr>
              <w:t>Water availability, air quality, biodiversity index, land degradation</w:t>
            </w:r>
          </w:p>
        </w:tc>
        <w:tc>
          <w:tcPr>
            <w:tcW w:w="0" w:type="auto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</w:rPr>
              <w:t>Captures environmental capacity and ecosystem health</w:t>
            </w:r>
          </w:p>
        </w:tc>
        <w:tc>
          <w:tcPr>
            <w:tcW w:w="0" w:type="auto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</w:rPr>
              <w:t>Remote sensing (NASA, ESA), national environmental agencies</w:t>
            </w:r>
          </w:p>
        </w:tc>
      </w:tr>
      <w:tr w:rsidR="005445A1" w:rsidRPr="00B67C31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  <w:b/>
                <w:bCs/>
              </w:rPr>
              <w:t>Human (Socio-economic)</w:t>
            </w:r>
          </w:p>
        </w:tc>
        <w:tc>
          <w:tcPr>
            <w:tcW w:w="0" w:type="auto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</w:rPr>
              <w:t>Income, education level, employment rate, population density</w:t>
            </w:r>
          </w:p>
        </w:tc>
        <w:tc>
          <w:tcPr>
            <w:tcW w:w="0" w:type="auto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</w:rPr>
              <w:t>Represents demographic and socio-economic pressures</w:t>
            </w:r>
          </w:p>
        </w:tc>
        <w:tc>
          <w:tcPr>
            <w:tcW w:w="0" w:type="auto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</w:rPr>
              <w:t>National statistics, World Bank, UNDP</w:t>
            </w:r>
          </w:p>
        </w:tc>
      </w:tr>
      <w:tr w:rsidR="005445A1" w:rsidRPr="00B67C31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  <w:b/>
                <w:bCs/>
              </w:rPr>
              <w:t>Governance / Institutional</w:t>
            </w:r>
          </w:p>
        </w:tc>
        <w:tc>
          <w:tcPr>
            <w:tcW w:w="0" w:type="auto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</w:rPr>
              <w:t>Corruption perception index, policy effectiveness, participation, climate risk index</w:t>
            </w:r>
          </w:p>
        </w:tc>
        <w:tc>
          <w:tcPr>
            <w:tcW w:w="0" w:type="auto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</w:rPr>
              <w:t>Reflects institutional quality, adaptive capacity, and governance resilience</w:t>
            </w:r>
          </w:p>
        </w:tc>
        <w:tc>
          <w:tcPr>
            <w:tcW w:w="0" w:type="auto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</w:rPr>
              <w:t>World Governance Indicators, UNDP, IPCC</w:t>
            </w:r>
          </w:p>
        </w:tc>
      </w:tr>
      <w:tr w:rsidR="005445A1" w:rsidRPr="00B67C31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  <w:b/>
                <w:bCs/>
              </w:rPr>
              <w:t>Psychosocial</w:t>
            </w:r>
          </w:p>
        </w:tc>
        <w:tc>
          <w:tcPr>
            <w:tcW w:w="0" w:type="auto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</w:rPr>
              <w:t>Environmental anxiety, social trust, migration intention, perceived well-being</w:t>
            </w:r>
          </w:p>
        </w:tc>
        <w:tc>
          <w:tcPr>
            <w:tcW w:w="0" w:type="auto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</w:rPr>
              <w:t>Captures community perceptions, resilience, and mental health</w:t>
            </w:r>
          </w:p>
        </w:tc>
        <w:tc>
          <w:tcPr>
            <w:tcW w:w="0" w:type="auto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</w:rPr>
              <w:t>Household surveys, WHO, Gallup World Poll</w:t>
            </w:r>
          </w:p>
        </w:tc>
      </w:tr>
      <w:tr w:rsidR="005445A1" w:rsidRPr="00B67C31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  <w:b/>
                <w:bCs/>
              </w:rPr>
              <w:t>Composite SLI</w:t>
            </w:r>
          </w:p>
        </w:tc>
        <w:tc>
          <w:tcPr>
            <w:tcW w:w="0" w:type="auto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</w:rPr>
              <w:t>Weighted integration of the above</w:t>
            </w:r>
          </w:p>
        </w:tc>
        <w:tc>
          <w:tcPr>
            <w:tcW w:w="0" w:type="auto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</w:rPr>
              <w:t>Dynamic measure of coupled human–environment–psychosocial system</w:t>
            </w:r>
          </w:p>
        </w:tc>
        <w:tc>
          <w:tcPr>
            <w:tcW w:w="0" w:type="auto"/>
            <w:vAlign w:val="center"/>
            <w:hideMark/>
          </w:tcPr>
          <w:p w:rsidR="005445A1" w:rsidRPr="00B67C31" w:rsidRDefault="005445A1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7C31">
              <w:rPr>
                <w:rFonts w:ascii="Times New Roman" w:eastAsia="Times New Roman" w:hAnsi="Times New Roman" w:cs="Times New Roman"/>
              </w:rPr>
              <w:t xml:space="preserve">Calculated via ML-SEM / </w:t>
            </w:r>
            <w:proofErr w:type="spellStart"/>
            <w:r w:rsidRPr="00B67C31">
              <w:rPr>
                <w:rFonts w:ascii="Times New Roman" w:eastAsia="Times New Roman" w:hAnsi="Times New Roman" w:cs="Times New Roman"/>
              </w:rPr>
              <w:t>XGBoost</w:t>
            </w:r>
            <w:proofErr w:type="spellEnd"/>
          </w:p>
        </w:tc>
      </w:tr>
    </w:tbl>
    <w:p w:rsidR="005445A1" w:rsidRDefault="005445A1" w:rsidP="00544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:rsidR="005445A1" w:rsidRDefault="005445A1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Pr="00570593" w:rsidRDefault="00CD5440" w:rsidP="00CD5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059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Table 3. Case application of the Sustainable Livability Index (SLI) in two ecosystems (illustrative data)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3008"/>
        <w:gridCol w:w="1207"/>
        <w:gridCol w:w="1207"/>
        <w:gridCol w:w="1266"/>
        <w:gridCol w:w="1281"/>
      </w:tblGrid>
      <w:tr w:rsidR="00CD5440" w:rsidRPr="00570593" w:rsidTr="00667C82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70593">
              <w:rPr>
                <w:rFonts w:ascii="Times New Roman" w:eastAsia="Times New Roman" w:hAnsi="Times New Roman" w:cs="Times New Roman"/>
                <w:b/>
                <w:bCs/>
              </w:rPr>
              <w:t>Dimension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70593">
              <w:rPr>
                <w:rFonts w:ascii="Times New Roman" w:eastAsia="Times New Roman" w:hAnsi="Times New Roman" w:cs="Times New Roman"/>
                <w:b/>
                <w:bCs/>
              </w:rPr>
              <w:t>Indicators (examples)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70593">
              <w:rPr>
                <w:rFonts w:ascii="Times New Roman" w:eastAsia="Times New Roman" w:hAnsi="Times New Roman" w:cs="Times New Roman"/>
                <w:b/>
                <w:bCs/>
              </w:rPr>
              <w:t>Lake Urmia (2010)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70593">
              <w:rPr>
                <w:rFonts w:ascii="Times New Roman" w:eastAsia="Times New Roman" w:hAnsi="Times New Roman" w:cs="Times New Roman"/>
                <w:b/>
                <w:bCs/>
              </w:rPr>
              <w:t>Lake Urmia (2020)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70593">
              <w:rPr>
                <w:rFonts w:ascii="Times New Roman" w:eastAsia="Times New Roman" w:hAnsi="Times New Roman" w:cs="Times New Roman"/>
                <w:b/>
                <w:bCs/>
              </w:rPr>
              <w:t>Hoor</w:t>
            </w:r>
            <w:proofErr w:type="spellEnd"/>
            <w:r w:rsidRPr="00570593">
              <w:rPr>
                <w:rFonts w:ascii="Times New Roman" w:eastAsia="Times New Roman" w:hAnsi="Times New Roman" w:cs="Times New Roman"/>
                <w:b/>
                <w:bCs/>
              </w:rPr>
              <w:t>-al-Azim (2010)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70593">
              <w:rPr>
                <w:rFonts w:ascii="Times New Roman" w:eastAsia="Times New Roman" w:hAnsi="Times New Roman" w:cs="Times New Roman"/>
                <w:b/>
                <w:bCs/>
              </w:rPr>
              <w:t>Hoor</w:t>
            </w:r>
            <w:proofErr w:type="spellEnd"/>
            <w:r w:rsidRPr="00570593">
              <w:rPr>
                <w:rFonts w:ascii="Times New Roman" w:eastAsia="Times New Roman" w:hAnsi="Times New Roman" w:cs="Times New Roman"/>
                <w:b/>
                <w:bCs/>
              </w:rPr>
              <w:t>-al-Azim (2020)</w:t>
            </w:r>
          </w:p>
        </w:tc>
      </w:tr>
      <w:tr w:rsidR="00CD5440" w:rsidRPr="00570593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  <w:b/>
                <w:bCs/>
              </w:rPr>
              <w:t>Ecological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Water level (m), Biodiversity index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1272 m / 0.62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1267 m / 0.35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0.40</w:t>
            </w:r>
          </w:p>
        </w:tc>
      </w:tr>
      <w:tr w:rsidR="00CD5440" w:rsidRPr="00570593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  <w:b/>
                <w:bCs/>
              </w:rPr>
              <w:t>Human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Population density (per km²), Agricultural water use (%)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95 / 72%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110 / 85%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60 / 68%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75 / 80%</w:t>
            </w:r>
          </w:p>
        </w:tc>
      </w:tr>
      <w:tr w:rsidR="00CD5440" w:rsidRPr="00570593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  <w:b/>
                <w:bCs/>
              </w:rPr>
              <w:t>Governance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Policy effectiveness (0–1), Climate risk index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0.45 / 0.62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0.40 / 0.68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0.50 / 0.60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0.42 / 0.66</w:t>
            </w:r>
          </w:p>
        </w:tc>
      </w:tr>
      <w:tr w:rsidR="00CD5440" w:rsidRPr="00570593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  <w:b/>
                <w:bCs/>
              </w:rPr>
              <w:t>Psychosocial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Migration intention (%), Environmental anxiety (0–1)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22% / 0.45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38% / 0.62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18% / 0.40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31% / 0.55</w:t>
            </w:r>
          </w:p>
        </w:tc>
      </w:tr>
      <w:tr w:rsidR="00CD5440" w:rsidRPr="00570593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  <w:b/>
                <w:bCs/>
              </w:rPr>
              <w:t>Composite SLI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Calculated (0–1 scale)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0.39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:rsidR="00CD5440" w:rsidRPr="0057059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0593">
              <w:rPr>
                <w:rFonts w:ascii="Times New Roman" w:eastAsia="Times New Roman" w:hAnsi="Times New Roman" w:cs="Times New Roman"/>
              </w:rPr>
              <w:t>0.46</w:t>
            </w:r>
          </w:p>
        </w:tc>
      </w:tr>
    </w:tbl>
    <w:p w:rsidR="00CD5440" w:rsidRDefault="00CD5440" w:rsidP="00CD54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Default="00CD5440"/>
    <w:p w:rsidR="00CD5440" w:rsidRPr="006260C3" w:rsidRDefault="00CD5440" w:rsidP="00CD5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6260C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Table</w:t>
      </w:r>
      <w:bookmarkEnd w:id="0"/>
      <w:r w:rsidRPr="006260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Policy scenarios and interpretation of Sustainable Livability Index (SLI) thresholds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99"/>
        <w:gridCol w:w="2956"/>
        <w:gridCol w:w="3260"/>
      </w:tblGrid>
      <w:tr w:rsidR="00CD5440" w:rsidRPr="006260C3" w:rsidTr="00667C82">
        <w:trPr>
          <w:tblHeader/>
          <w:tblCellSpacing w:w="15" w:type="dxa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60C3">
              <w:rPr>
                <w:rFonts w:ascii="Times New Roman" w:eastAsia="Times New Roman" w:hAnsi="Times New Roman" w:cs="Times New Roman"/>
                <w:b/>
                <w:bCs/>
              </w:rPr>
              <w:t>SLI Range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60C3">
              <w:rPr>
                <w:rFonts w:ascii="Times New Roman" w:eastAsia="Times New Roman" w:hAnsi="Times New Roman" w:cs="Times New Roman"/>
                <w:b/>
                <w:bCs/>
              </w:rPr>
              <w:t>System status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60C3">
              <w:rPr>
                <w:rFonts w:ascii="Times New Roman" w:eastAsia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60C3">
              <w:rPr>
                <w:rFonts w:ascii="Times New Roman" w:eastAsia="Times New Roman" w:hAnsi="Times New Roman" w:cs="Times New Roman"/>
                <w:b/>
                <w:bCs/>
              </w:rPr>
              <w:t>Policy implications</w:t>
            </w:r>
          </w:p>
        </w:tc>
      </w:tr>
      <w:tr w:rsidR="00CD5440" w:rsidRPr="006260C3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  <w:b/>
                <w:bCs/>
              </w:rPr>
              <w:t>&gt; 0.70 (Stable Zone)</w:t>
            </w:r>
          </w:p>
        </w:tc>
        <w:tc>
          <w:tcPr>
            <w:tcW w:w="0" w:type="auto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</w:rPr>
              <w:t>Sustainable &amp; resilient</w:t>
            </w:r>
          </w:p>
        </w:tc>
        <w:tc>
          <w:tcPr>
            <w:tcW w:w="0" w:type="auto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</w:rPr>
              <w:t>Ecosystems function within capacity; human well-being and governance strong</w:t>
            </w:r>
          </w:p>
        </w:tc>
        <w:tc>
          <w:tcPr>
            <w:tcW w:w="0" w:type="auto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</w:rPr>
              <w:t>Maintain policies; promote adaptive governance; invest in innovation for resilience</w:t>
            </w:r>
          </w:p>
        </w:tc>
      </w:tr>
      <w:tr w:rsidR="00CD5440" w:rsidRPr="006260C3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  <w:b/>
                <w:bCs/>
              </w:rPr>
              <w:t>0.50 – 0.70 (Early-warning Zone)</w:t>
            </w:r>
          </w:p>
        </w:tc>
        <w:tc>
          <w:tcPr>
            <w:tcW w:w="0" w:type="auto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</w:rPr>
              <w:t>Vulnerable, under stress</w:t>
            </w:r>
          </w:p>
        </w:tc>
        <w:tc>
          <w:tcPr>
            <w:tcW w:w="0" w:type="auto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</w:rPr>
              <w:t>Signs of ecological decline; rising social tension or migration intention</w:t>
            </w:r>
          </w:p>
        </w:tc>
        <w:tc>
          <w:tcPr>
            <w:tcW w:w="0" w:type="auto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</w:rPr>
              <w:t>Implement corrective actions (reduce water extraction, diversify livelihoods, strengthen institutions)</w:t>
            </w:r>
          </w:p>
        </w:tc>
      </w:tr>
      <w:tr w:rsidR="00CD5440" w:rsidRPr="006260C3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  <w:b/>
                <w:bCs/>
              </w:rPr>
              <w:t>0.35 – 0.50 (Critical Transition Zone)</w:t>
            </w:r>
          </w:p>
        </w:tc>
        <w:tc>
          <w:tcPr>
            <w:tcW w:w="0" w:type="auto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</w:rPr>
              <w:t>At risk of collapse</w:t>
            </w:r>
          </w:p>
        </w:tc>
        <w:tc>
          <w:tcPr>
            <w:tcW w:w="0" w:type="auto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</w:rPr>
              <w:t>Severe ecological degradation, governance gaps, high psychosocial distress</w:t>
            </w:r>
          </w:p>
        </w:tc>
        <w:tc>
          <w:tcPr>
            <w:tcW w:w="0" w:type="auto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</w:rPr>
              <w:t>Urgent interventions (emergency restoration, relocation programs, international cooperation)</w:t>
            </w:r>
          </w:p>
        </w:tc>
      </w:tr>
      <w:tr w:rsidR="00CD5440" w:rsidRPr="006260C3" w:rsidTr="00667C82">
        <w:trPr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  <w:b/>
                <w:bCs/>
              </w:rPr>
              <w:t>&lt; 0.35 (Collapse Zone)</w:t>
            </w:r>
          </w:p>
        </w:tc>
        <w:tc>
          <w:tcPr>
            <w:tcW w:w="0" w:type="auto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</w:rPr>
              <w:t>Breakdown</w:t>
            </w:r>
          </w:p>
        </w:tc>
        <w:tc>
          <w:tcPr>
            <w:tcW w:w="0" w:type="auto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</w:rPr>
              <w:t>Irreversible ecological shifts; mass migration; loss of social trust</w:t>
            </w:r>
          </w:p>
        </w:tc>
        <w:tc>
          <w:tcPr>
            <w:tcW w:w="0" w:type="auto"/>
            <w:vAlign w:val="center"/>
            <w:hideMark/>
          </w:tcPr>
          <w:p w:rsidR="00CD5440" w:rsidRPr="006260C3" w:rsidRDefault="00CD5440" w:rsidP="00667C8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60C3">
              <w:rPr>
                <w:rFonts w:ascii="Times New Roman" w:eastAsia="Times New Roman" w:hAnsi="Times New Roman" w:cs="Times New Roman"/>
              </w:rPr>
              <w:t>Crisis management, humanitarian response, long-term ecosystem rehabilitation</w:t>
            </w:r>
          </w:p>
        </w:tc>
      </w:tr>
    </w:tbl>
    <w:p w:rsidR="00CD5440" w:rsidRPr="000721BF" w:rsidRDefault="00CD5440" w:rsidP="00CD54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5440" w:rsidRDefault="00CD5440"/>
    <w:p w:rsidR="00CD5440" w:rsidRDefault="00CD5440">
      <w:pPr>
        <w:rPr>
          <w:rtl/>
        </w:rPr>
      </w:pPr>
    </w:p>
    <w:p w:rsidR="005445A1" w:rsidRDefault="005445A1"/>
    <w:sectPr w:rsidR="0054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E8"/>
    <w:rsid w:val="001F1232"/>
    <w:rsid w:val="004D0848"/>
    <w:rsid w:val="005445A1"/>
    <w:rsid w:val="007053AE"/>
    <w:rsid w:val="00B61CE8"/>
    <w:rsid w:val="00CD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A56C"/>
  <w15:chartTrackingRefBased/>
  <w15:docId w15:val="{A236C86F-F8F9-4F14-8E10-972E9BDB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Poursina High School</dc:creator>
  <cp:keywords/>
  <dc:description/>
  <cp:lastModifiedBy>Poursina High School</cp:lastModifiedBy>
  <cp:revision>1</cp:revision>
  <dcterms:created xsi:type="dcterms:W3CDTF">2025-08-18T14:22:00Z</dcterms:created>
  <dcterms:modified xsi:type="dcterms:W3CDTF">2025-08-18T15:16:00Z</dcterms:modified>
</cp:coreProperties>
</file>