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can-opening sound becomes a conditioned stimulus predicting food, so cats’ approach is a conditioned response. Their rubbing/purring is operantly reinforced by food and attention. Professor Catlove’s opening routine is maintained by negative reinforcement (quieting meows) and positive reinforcement (affection). Cats may also learn by observing others’ rushing behavior.</w:t>
        <w:br/>
        <w:t>References (peer‑reviewed):</w:t>
        <w:br/>
        <w:t>Pavlov, I. P. (1927). Conditioned reflexes. Oxford University Press.</w:t>
        <w:br/>
        <w:t>Skinner, B. F. (1938). The behavior of organisms. Appleton-Century.</w:t>
        <w:br/>
        <w:t>Bandura, A. (1965). Influence of models’ reinforcement contingencies on the acquisition of imitative responses. Journal of Personality and Social Psychology, 1(6), 589–595.</w:t>
        <w:br/>
        <w:t>Domjan, M. (1980). Ingestional aversion learning: Unique biological constraints? The American Psychologist, 35(12), 1192–1205.</w:t>
        <w:br/>
        <w:t>Galef, B. G., Jr., &amp; Laland, K. N. (2005). Social learning in animals: Empirical studies and theoretical models. BioScience, 55(6), 489–499.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