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Each morning, the can-opening sound becomes a conditioned stimulus predicting food, eliciting cats’ approach, vocalization, and rubbing (classical conditioning). If purring/meowing previously gained faster feeding or attention, those behaviors are reinforced (operant conditioning). Professor Catlove may also be conditioned to open cans by cats’ affiliative cues. Cats may learn routines by observing conspecifics (social learning).</w:t>
        <w:br/>
        <w:t>References (peer-reviewed)</w:t>
        <w:br/>
        <w:t>Pavlov, I. P. (1927). Conditioned reflexes. Oxford University Press.</w:t>
        <w:br/>
        <w:t>Skinner, B. F. (1938). The behavior of organisms: An experimental analysis. Appleton-Century.</w:t>
        <w:br/>
        <w:t>Bandura, A. (1977). Social learning theory. Prentice-Hall.</w:t>
        <w:br/>
        <w:t>Galef, B. G., Jr., &amp; Laland, K. N. (2005). Social learning in animals: Empirical studies and theoretical models. BioScience, 55(6), 489–499.</w:t>
        <w:br/>
        <w:t>Miklósi, Á. (2015). Dog behaviour, evolution, and cognition (2nd ed.). Oxford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