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cats exhibit classical conditioning by associating the can-opener’s sound with food. Their leg-rubbing represents operant conditioning, positively reinforced by eating. Professor Catlove demonstrates operant conditioning via negative reinforcement, feeding them to silence their meowing. Additionally, social learning likely occurs as the cats observe and mimic each other’s excited running.</w:t>
        <w:br/>
        <w:t>References</w:t>
        <w:br/>
        <w:t>Dickinson, A., &amp; Balleine, B. (1994). Motivational control of goal-directed action. Animal Learning &amp; Behavior, 22(1), 1–18.</w:t>
        <w:br/>
        <w:t>Rescorla, R. A. (1988). Pavlovian conditioning: It's not what you think it is. American Psychologist, 43(3), 151–160.</w:t>
        <w:br/>
        <w:t>Skinner, B. F. (1963). Operant behavior. American Psychologist, 18(8), 503–515.</w:t>
        <w:br/>
        <w:t>Thorndike, E. L. (1898). Animal intelligence: An experimental study of the associative processes in animals. The Psychological Review: Monograph Supplements, 2(4), i–109.</w:t>
        <w:br/>
        <w:t>Zentall, T. R. (2012). Perspectives on observational learning in animals. Journal of Comparative Psychology, 126(2), 114–128.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