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Professor Catlove's routine, cats exhibit classical conditioning: can opening (CS) paired with food (US) elicits running, purring (CR). Operant conditioning reinforces meowing, rubbing via food rewards. Social learning occurs as cats imitate peers. Professor shows operant conditioning, affection reinforcing can-opening.</w:t>
        <w:br/>
        <w:t>(50 words)</w:t>
        <w:br/>
        <w:t>Bolles, R. C. (1972). Species-specific defense reactions and avoidance learning. Psychological Review, 77(1), 32-48.</w:t>
        <w:br/>
        <w:t>Domjan, M. (2018). Principles of learning and behavior. Cengage Learning.</w:t>
        <w:br/>
        <w:t>Pavlov, I. P. (1927). Conditioned reflexes. Oxford University Press.</w:t>
        <w:br/>
        <w:t>Skinner, B. F. (1953). Science and human behavior. Macmillan.</w:t>
        <w:br/>
        <w:t>Bandura, A. (1977). Social learning theory. Prentice Hall.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