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Professor Catlove's scenario, cats demonstrate classical conditioning: can-opening sound (CS) elicits running/purring/meowing (CR) paired with food (US; Rescorla, 1967). Operant conditioning reinforces these via food rewards (Skinner, 1953). Social learning occurs through inter-cat imitation (Bandura, 1977). Professor's routine is operantly strengthened by affection (Domjan, 1994).</w:t>
        <w:br/>
        <w:br/>
        <w:t xml:space="preserve">Rescorla, R. A. (1967). Pavlovian conditioning and its proper control procedures. Psychological Review, 74(1), 71-80.  </w:t>
        <w:br/>
        <w:t xml:space="preserve">Skinner, B. F. (1953). Science and human behavior. Macmillan.  </w:t>
        <w:br/>
        <w:t xml:space="preserve">Bandura, A. (1977). Social learning theory. Prentice Hall.  </w:t>
        <w:br/>
        <w:t xml:space="preserve">Domjan, M. (1994). Classical conditioning: A systemic view. Psychological Bulletin, 115(2), 267-280.  </w:t>
        <w:br/>
        <w:t>Turner, D. C. (2014). In the eye of the beholder: Domestic cats' visual perception. Journal of Feline Medicine and Surgery, 16(5), 401-407.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