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Overall Score: 18/20 (Excellent performance; consistently at Milestone/Capstone levels, demonstrating strong critical thinking habits)</w:t>
        <w:br/>
        <w:t>Explanation of Issues: Capstone (4)</w:t>
        <w:br/>
        <w:t>The core issue—Boston's 2024 real estate investment market dynamics shaped by supply constraints, high interest rates, and uneven demand—is stated clearly and described comprehensively. All relevant details (e.g., property-type dispersion, submarket specifics like transit-served areas) are provided for full understanding, with no omissions impeding clarity.</w:t>
        <w:br/>
        <w:t>Evidence (Selecting and using information to investigate a point of view or conclusion): Capstone (4)</w:t>
        <w:br/>
        <w:t>Sources (e.g., Glaeser &amp; Gyourko, 2003; Saiz, 2010; Rosenthal &amp; Strange, 2004) are interpreted and evaluated to build a comprehensive synthesis, such as linking supply inelasticity to rent pressures and agglomeration to demand resilience. Expert viewpoints are not taken at face value but thoroughly integrated and contextualized (e.g., applied to 2024 repricing and conversions), supporting a cohesive analysis.</w:t>
        <w:br/>
        <w:t>Influence of Context and Assumptions: Milestone (3)</w:t>
        <w:br/>
        <w:t>Own and others' assumptions (e.g., durability of housing demand amid rates, challenges in office secular trends) are identified, along with multiple relevant contexts (e.g., post-pandemic shifts, credit conditions, innovation clusters). Analysis is methodical but not fully systematic in explicitly evaluating assumption relevance or biases.</w:t>
        <w:br/>
        <w:t>Student's Position (Perspective, Thesis/Hypothesis): Capstone (4)</w:t>
        <w:br/>
        <w:t>Position—multifamily as strongest segment, with opportunities in office conversions and selective life-science—is imaginative and nuanced, accounting for issue complexities (e.g., basis-driven returns, highest/best-use shifts). Limits (e.g., office challenges, cost discipline) are acknowledged, and others' research viewpoints (e.g., Glaeser et al., 2005) are synthesized imaginatively.</w:t>
        <w:br/>
        <w:t>Conclusions and Related Outcomes (Implications and Consequences): Capstone (4)</w:t>
        <w:br/>
        <w:t>Conclusions (repricing/sorting over downturn; success via micro-location/adaptability) are logically derived from prioritized evidence/perspectives (e.g., durable demand first, then obsolescence plays). Outcomes (e.g., reduced reliance on market beta) are clearly identified and reflect informed evaluation, including opposing dynamics like new supply pressures.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