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Score: 4.0 (Capstone)</w:t>
        <w:br/>
        <w:t>This essay demonstrates exemplary critical thinking, with comprehensive analysis, synthesis of evidence, and nuanced handling of assumptions and contexts. It meets or exceeds Capstone performance across all categories. Scores are assigned per category below, with brief justifications tied to rubric descriptors.</w:t>
        <w:br/>
        <w:t>Explanation of Issues: 4 (Capstone)</w:t>
        <w:br/>
        <w:t>Issue/problem (Boston's 2024 real estate investment outlook amid supply constraints, costs, and demand) is stated clearly and described comprehensively, including all relevant information (e.g., eds-and-meds anchors, transit nodes, submarket variations) for full understanding. No omissions impede comprehension.</w:t>
        <w:br/>
        <w:t>Evidence (Selecting and using information): 4 (Capstone)</w:t>
        <w:br/>
        <w:t>Information from peer-reviewed sources (e.g., Glaeser et al., 2005; Saiz, 2010) is interpreted and evaluated to develop a comprehensive analysis/synthesis (e.g., linking inelastic supply to resilience and submarket risks). Expert viewpoints are questioned thoroughly (e.g., supply constraints support long-run trends but not short-run guarantees).</w:t>
        <w:br/>
        <w:t>Influence of Context and Assumptions: 4 (Capstone)</w:t>
        <w:br/>
        <w:t>Own and others' assumptions (e.g., simplistic "Boston always goes up") are analyzed systematically and methodically. Relevance of contexts (e.g., interest rates, regulations, neighborhood dynamics, climate exposure) is carefully evaluated when presenting positions.</w:t>
        <w:br/>
        <w:t>Student's Position (Perspective, Thesis/Hypothesis): 4 (Capstone)</w:t>
        <w:br/>
        <w:t>Specific position (prioritize transit-oriented multifamily, mixed-use in walkable nodes, selective acquisitions with disciplined submarket focus) is imaginative, accounts for issue complexities (e.g., micro-locations, capital structure), acknowledges limits, and synthesizes others' viewpoints (e.g., research on supply/demand shocks).</w:t>
        <w:br/>
        <w:t>Conclusions and Related Outcomes: 4 (Capstone)</w:t>
        <w:br/>
        <w:t>Conclusions (disciplined, submarket-specific strategy emphasizing cash-flow stability, stress-testing) are logical, reflect informed evaluation, and prioritize evidence/perspectives (e.g., integrating opposing short-run risks with long-run resilience). Outcomes (e.g., explicit pricing of regulatory/climate risks) are clear and comprehensive.</w:t>
        <w:br/>
        <w:t>Strengths: Concise yet rigorous; strong integration of theory/evidence with practical recommendations.</w:t>
        <w:br/>
        <w:t>Suggestions for Improvement: None required for Capstone; expand primary data (e.g., recent Boston metrics) for even deeper synthesis if space allows.</w:t>
        <w:br/>
        <w:t>Total Average Score: 4.0/4.0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