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can’s opening sound becomes a conditioned stimulus predicting food, eliciting cats’ approach, purring, and rubbing (classical conditioning). Their attention-getting behaviors are reinforced when feeding follows (operant conditioning). Professor Catlove may be conditioned to open cans to stop meowing (negative reinforcement). Cats may also learn by observing others rush in (social learning).</w:t>
        <w:br/>
        <w:br/>
        <w:t xml:space="preserve">**References (peer-reviewed):**  </w:t>
        <w:br/>
        <w:t xml:space="preserve">Pavlov, I. P. (1927). *Conditioned reflexes*. Oxford University Press.  </w:t>
        <w:br/>
        <w:t xml:space="preserve">Skinner, B. F. (1938). *The behavior of organisms*. Appleton-Century.  </w:t>
        <w:br/>
        <w:t xml:space="preserve">Bandura, A., Ross, D., &amp; Ross, S. A. (1961). Transmission of aggression through imitation of aggressive models. *Journal of Abnormal and Social Psychology, 63*(3), 575–582.  </w:t>
        <w:br/>
        <w:t xml:space="preserve">Thorndike, E. L. (1898). Animal intelligence: An experimental study of the associative processes in animals. *Psychological Review Monograph Supplements, 2*(4), i–109.  </w:t>
        <w:br/>
        <w:t>Mineka, S., &amp; Cook, M. (1993). Mechanisms involved in the observational conditioning of fear. *Journal of Experimental Psychology: General, 122*(1), 23–38.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