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can’s opening sound becomes a conditioned stimulus predicting food, eliciting approach, purring, and meowing (classical conditioning). Rubbing against Catlove is operantly reinforced when it yields feeding or attention. Catlove’s opening routine is reinforced by cats’ affiliative responses. Cats may also learn by observing each other’s rushing and vocalizing (social learning).</w:t>
        <w:br/>
        <w:br/>
        <w:t xml:space="preserve">**Peer‑reviewed sources**  </w:t>
        <w:br/>
        <w:t xml:space="preserve">Pavlov, I. P. (1927). *Conditioned Reflexes*. Oxford University Press.  </w:t>
        <w:br/>
        <w:t xml:space="preserve">Skinner, B. F. (1938). *The Behavior of Organisms*. Appleton-Century.  </w:t>
        <w:br/>
        <w:t xml:space="preserve">Bandura, A. (1977). Social learning theory. *Prentice-Hall*.  </w:t>
        <w:br/>
        <w:t xml:space="preserve">Galef, B. G., Jr., &amp; Laland, K. N. (2005). Social learning in animals: Empirical studies and theoretical models. *BioScience, 55*(6), 489–499.  </w:t>
        <w:br/>
        <w:t>Hoppitt, W., &amp; Laland, K. N. (2013). Social learning: An introduction to mechanisms, methods, and models. *Princeton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