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When Professor Catlove opens a can of cat food, his cats display classical conditioning by associating the can opening with food (Pavlovian response); operant conditioning occurs as their excited behaviors are reinforced by being fed. Social learning may arise if younger cats imitate older cats’ enthusiastic responses, enhancing food-related cues in the environment.</w:t>
        <w:br/>
        <w:t>References:</w:t>
        <w:br/>
        <w:t>1. Bouton, M. E. (2007). Learning and behavior: A contemporary synthesis. Sinauer Associates.</w:t>
        <w:br/>
        <w:t>2. Pearce, J. M., &amp; Bouton, M. E. (2001). Theories of associative learning in animals. Annual Review of Psychology, 52(1), 111-139.</w:t>
        <w:br/>
        <w:t>3. Skinner, B. F. (1938). The behavior of organisms: An experimental analysis. Appleton-Century.</w:t>
        <w:br/>
        <w:t>4. Bandura, A. (1977). Social learning theory. Prentice-Hall.</w:t>
        <w:br/>
        <w:t>5. Zentall, T. R. (2012). Perspectives on observational learning in animals. Journal of Comparative Psychology, 126(2), 114-128.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