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Professor Catlove opens cat food, classical conditioning is seen as cats associate the can’s sound with food. Operant conditioning appears as affectionate cat behaviors are rewarded with feeding. Social learning occurs if one cat mimics another’s actions. The professor might also be conditioned to feed after these cues.</w:t>
        <w:br/>
        <w:t>References:</w:t>
        <w:br/>
        <w:br/>
        <w:t>Skinner, B. F. (1938). The Behavior of Organisms: An Experimental Analysis. Appleton-Century.</w:t>
        <w:br/>
        <w:t>Pavlov, I. P. (1927). Conditioned Reflexes. Oxford University Press.</w:t>
        <w:br/>
        <w:t>Bandura, A. (1977). Social Learning Theory. Prentice Hall.</w:t>
        <w:br/>
        <w:t>Domjan, M. (2015). The Principles of Learning and Behavior. Cengage Learning.</w:t>
        <w:br/>
        <w:t>Galef, B. G., &amp; Laland, K. N. (2005). Social learning in animals: Empirical studies and theoretical models. BioScience, 55(6), 489-499.</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