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Boston Metropolitan Area Real Estate Investment Market Analysis (2024)  </w:t>
        <w:br/>
        <w:t>*(Undergrad, first-semester level; ~900–1,000 words)*</w:t>
        <w:br/>
        <w:br/>
        <w:t xml:space="preserve">### 1) Why Boston in 2024 matters for investors  </w:t>
        <w:br/>
        <w:t>Boston’s metro real estate market in 2024 is shaped by three big forces: (1) a long-term shortage of housing, (2) high interest rates that reduce buying power, and (3) a job base anchored by “eds-and-meds” (universities and hospitals) plus tech and life sciences. Together, these forces keep demand relatively strong even when affordability gets worse. In many U.S. metros, higher rates cause major price declines. In Boston, price drops tend to be limited because supply is structurally constrained by zoning, high construction costs, and limited land. Academic research supports the idea that restrictive land-use regulation and inelastic housing supply amplify price pressure in productive metros (Glaeser, Gyourko, &amp; Saks, 2005; Saiz, 2010).</w:t>
        <w:br/>
        <w:br/>
        <w:t xml:space="preserve">### 2) Market snapshot: demand, supply, prices, and rents  </w:t>
        <w:br/>
        <w:t>**Demand:** Boston remains a high-demand metro because it attracts students, health-care workers, and high-skill labor. Even when the tech sector softens, universities and hospitals stabilize the labor market. Research on “agglomeration economies” shows that dense, innovation-oriented metros support higher productivity and wages, which can translate to stronger housing demand (Glaeser &amp; Mare, 2001).</w:t>
        <w:br/>
        <w:br/>
        <w:t>**Supply:** The core story in Boston is limited supply. New construction faces local permitting hurdles, neighborhood opposition, and high costs. When supply is slow to respond, higher demand turns into higher prices and rents rather than much more construction (Saiz, 2010). That makes Boston comparatively resilient.</w:t>
        <w:br/>
        <w:br/>
        <w:t>**Prices:** In 2024, prices are best described as “sticky”: not exploding upward like 2021, but also not collapsing. High mortgage rates reduce the pool of buyers, yet owners with low-rate mortgages are reluctant to sell (“lock-in”), which further restricts listings. The outcome is low transaction volume and stable-to-slightly-up prices in many submarkets.</w:t>
        <w:br/>
        <w:br/>
        <w:t>**Rents:** Rents remain supported by low vacancy and steady in-migration for school and jobs. Boston’s rent growth has generally been stronger than many metros because of supply constraints and a large renter base. Importantly, rent dynamics also reflect neighborhood amenities—transit access, safety, schools, and walkability. Hedonic pricing research finds that buyers and renters capitalize these local attributes into housing values (Rosen, 1974).</w:t>
        <w:br/>
        <w:br/>
        <w:t xml:space="preserve">### 3) Key patterns investors should notice in 2024  </w:t>
        <w:br/>
        <w:t>**Pattern A: “Resilience through scarcity.”** Boston behaves like a “supply-constrained” market: demand shocks show up in prices/rents more than in construction (Glaeser et al., 2005; Saiz, 2010). This makes long-run appreciation plausible, but short-run entry costs are high.</w:t>
        <w:br/>
        <w:br/>
        <w:t>**Pattern B: “Rates change what works.”** With higher interest rates, deals that rely on heavy leverage and quick appreciation are harder to justify. Investors in 2024 need stronger operating income (rent), better basis (lower purchase price), or value-add strategies (renovation, better management). Cap rates may rise, but Boston’s cap rates tend to remain lower than national averages because investors accept lower yields for perceived safety and appreciation potential.</w:t>
        <w:br/>
        <w:br/>
        <w:t>**Pattern C: “Neighborhood quality is priced in—sometimes too much.”** Prime neighborhoods (Back Bay, Beacon Hill, Cambridge near Kendall/MIT, Seaport) have strong fundamentals but often trade at premium prices that compress returns. Hedonic models imply that location and amenities are already embedded in pricing, so “easy” arbitrage is rare (Rosen, 1974).</w:t>
        <w:br/>
        <w:br/>
        <w:t>**Pattern D: “Small multifamily is a core Boston asset class.”** Triple-deckers and 2–4 unit properties are common in many neighborhoods (Dorchester, Roxbury, Somerville, Medford, Quincy). For investors, these properties can combine stable demand with opportunities to improve unit quality, add bedrooms, or optimize expenses—though regulatory and tenant-protection rules matter.</w:t>
        <w:br/>
        <w:br/>
        <w:t>**Pattern E: “Transit and job nodes shape rent gradients.”** Properties near strong job centers (Downtown, Longwood Medical Area, Kendall Square) and reliable transit often maintain demand even in downturns. Research on urban labor markets and productivity supports the value of proximity and density (Glaeser &amp; Mare, 2001).</w:t>
        <w:br/>
        <w:br/>
        <w:t xml:space="preserve">### 4) Best investment opportunities (2024)  </w:t>
        <w:br/>
        <w:t>Below are opportunities that fit 2024’s high-rate, low-supply environment. These are not “get rich quick” plays; they are strategies that match Boston’s realities.</w:t>
        <w:br/>
        <w:br/>
        <w:t xml:space="preserve">#### Opportunity 1: Value-add small multifamily in “next-ring” neighborhoods  </w:t>
        <w:br/>
        <w:t xml:space="preserve">**Where:** Dorchester, Roxbury (select subareas), East Boston, Malden, Medford, Quincy, Revere, parts of Somerville (where pricing still allows returns).  </w:t>
        <w:br/>
        <w:t xml:space="preserve">**Why it works:** These areas often have strong rental demand but more pricing flexibility than the most elite submarkets. Investors can improve cash flow through renovations, better leasing, or adding in-unit laundry/storage where feasible. The supply constraint supports rent levels (Saiz, 2010).  </w:t>
        <w:br/>
        <w:t>**Main risks:** Renovation costs, permitting, tenant-rights compliance, and the possibility that rent growth slows.</w:t>
        <w:br/>
        <w:br/>
        <w:t xml:space="preserve">#### Opportunity 2: “Workforce rental” housing near hospitals/universities  </w:t>
        <w:br/>
        <w:t xml:space="preserve">**Where:** Near Longwood Medical Area access corridors; areas with predictable renter pools tied to universities (Allston/Brighton, parts of Brookline edges, Mission Hill adjacency).  </w:t>
        <w:br/>
        <w:t xml:space="preserve">**Why it works:** Stable tenant demand reduces vacancy risk. In a higher-rate environment, stability matters more than speculative upside.  </w:t>
        <w:br/>
        <w:t>**Main risks:** Competition from professionally managed buildings and potential policy pressure on rents.</w:t>
        <w:br/>
        <w:br/>
        <w:t xml:space="preserve">#### Opportunity 3: Condo or small rental in transit-connected suburbs with constrained inventory  </w:t>
        <w:br/>
        <w:t xml:space="preserve">**Where:** Arlington, Watertown, Belmont-adjacent edges; or South Shore rail-access towns; select North Shore communities with commuter rail access.  </w:t>
        <w:br/>
        <w:t xml:space="preserve">**Why it works:** When city prices are high, demand “spills over” into close suburbs, especially for households seeking more space. Limited inventory keeps prices from falling sharply.  </w:t>
        <w:br/>
        <w:t>**Main risks:** Suburban supply additions, local zoning barriers (which can cut both ways), and sensitivity to commuting patterns.</w:t>
        <w:br/>
        <w:br/>
        <w:t xml:space="preserve">#### Opportunity 4: Niche student-oriented rentals (carefully managed)  </w:t>
        <w:br/>
        <w:t xml:space="preserve">**Where:** Near major campuses (BU/BC/NEU area clusters; Somerville/Cambridge near Tufts/Harvard/MIT access).  </w:t>
        <w:br/>
        <w:t xml:space="preserve">**Why it works:** Reliable seasonal demand, ability to rent by bedroom in some cases (where legal/appropriate), and low vacancy when well-managed.  </w:t>
        <w:br/>
        <w:t>**Main risks:** Higher wear-and-tear, turnover costs, and regulatory constraints.</w:t>
        <w:br/>
        <w:br/>
        <w:t xml:space="preserve">### 5) What not to overpay for in 2024  </w:t>
        <w:br/>
        <w:t>**Ultra-luxury, low-yield assets** in the hottest districts can be “trophy properties” that look safe but deliver weak cash flow at today’s financing costs. If appreciation slows, the investment can underperform. In addition, **office-heavy bets** remain uncertain due to remote/hybrid work and refinancing risk (though this essay focuses mainly on residential).</w:t>
        <w:br/>
        <w:br/>
        <w:t xml:space="preserve">### 6) Bottom line: investment thesis for Boston (2024)  </w:t>
        <w:br/>
        <w:t>Boston in 2024 is best understood as a **scarcity-driven, high-barrier market**. High interest rates reduce affordability and transaction volume, but the metro’s **structural housing undersupply** and strong employment anchors support rents and limit major price declines. The best opportunities are typically **not** in the most famous zip codes; they are in **next-ring neighborhoods and transit-connected suburbs** where investors can still find (1) stable renter demand and (2) operational upside through value-add strategies. The most significant pattern is that Boston’s long-run strength comes from **inelastic supply**—a point strongly supported by urban economics research (Glaeser et al., 2005; Saiz, 2010). For investors, success in 2024 depends less on timing the market and more on buying assets that can perform through cash flow, prudent leverage, and realistic renovation plans.</w:t>
        <w:br/>
        <w:br/>
        <w:t>---</w:t>
        <w:br/>
        <w:br/>
        <w:t xml:space="preserve">## References (peer-reviewed)  </w:t>
        <w:br/>
        <w:t xml:space="preserve">- Glaeser, E. L., Gyourko, J., &amp; Saks, R. E. (2005). Why is Manhattan so expensive? Regulation and the rise in housing prices. *Journal of Law and Economics, 48*(2), 331–369.  </w:t>
        <w:br/>
        <w:t xml:space="preserve">- Glaeser, E. L., &amp; Mare, D. C. (2001). Cities and skills. *Journal of Labor Economics, 19*(2), 316–342.  </w:t>
        <w:br/>
        <w:t xml:space="preserve">- Rosen, S. (1974). Hedonic prices and implicit markets: Product differentiation in pure competition. *Journal of Political Economy, 82*(1), 34–55.  </w:t>
        <w:br/>
        <w:t xml:space="preserve">- Saiz, A. (2010). The geographic determinants of housing supply. *The Quarterly Journal of Economics, 125*(3), 1253–1296.  </w:t>
        <w:br/>
        <w:t xml:space="preserve">- Quigley, J. M., &amp; Raphael, S. (2005). Regulation and the high cost of housing in California. *American Economic Review, 95*(2), 323–328.  </w:t>
        <w:br/>
        <w:br/>
        <w:t>If you want, I can convert this into a more “academic” paper format (title page, thesis statement, section headings, and in-text citations in APA/MLA), or tailor the “best opportunities” list to a budget range (e.g., under $700k, $1–2M,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