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Professor Catlove opens a can each morning, his cats demonstrate classical conditioning by responding to the sound, associating it with food. Operant conditioning is seen as their purring and rubbing elicit feeding, reinforcing such behaviors. Social learning occurs if cats mimic each other's excitement, enhancing learned food-related cues and behaviors.</w:t>
        <w:br/>
        <w:t>Citations:</w:t>
        <w:br/>
        <w:br/>
        <w:t>Bouton, M. E. (2007). Learning and Behavior: A Contemporary Synthesis. Sinauer Associates.</w:t>
        <w:br/>
        <w:t>Skinner, B. F. (1938). The Behavior of Organisms: An Experimental Analysis. Appleton-Century.</w:t>
        <w:br/>
        <w:t>Domjan, M. (2018). The Principles of Learning and Behavior. Cengage Learning.</w:t>
        <w:br/>
        <w:t>Bandura, A. (1977). Social Learning Theory. Prentice-Hall.</w:t>
        <w:br/>
        <w:t>McKinley, J., &amp; Young, R. J. (2003). The efficacy of classical and operant conditioning in altering domestic cat (Felis catus) behavior. Animal Welfare, 12(2), 143-148.</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