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**Essay**</w:t>
        <w:br/>
        <w:br/>
        <w:t>The cats exhibit classical conditioning, associating the can’s sound with eating. Their rubbing behaviors demonstrate operant conditioning, positively reinforced by food. Conversely, the professor experiences negative reinforcement; feeding the cats terminates their begging. Social learning is likely absent, as these behaviors primarily arise from direct associative learning rather than observation.</w:t>
        <w:br/>
        <w:br/>
        <w:t>**References**</w:t>
        <w:br/>
        <w:br/>
        <w:t>Bandura, A. (1965). Influence of models' reinforcement contingencies on the acquisition of imitative responses. *Journal of Personality and Social Psychology*, 1(6), 589–595.</w:t>
        <w:br/>
        <w:br/>
        <w:t>Domjan, M. (2005). Pavlovian conditioning: A functional perspective. *Annual Review of Psychology*, 56, 179–206.</w:t>
        <w:br/>
        <w:br/>
        <w:t>Rescorla, R. A. (1988). Pavlovian conditioning: It's not what you think it is. *American Psychologist*, 43(3), 151–160.</w:t>
        <w:br/>
        <w:br/>
        <w:t>Skinner, B. F. (1948). 'Superstition' in the pigeon. *Journal of Experimental Psychology*, 38(2), 168–172.</w:t>
        <w:br/>
        <w:br/>
        <w:t>Thorndike, E. L. (1898). Animal intelligence: An experimental study of the associative processes in animals. *The Psychological Review: Monograph Supplements*, 2(4), i–109.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