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can’s opening sound becomes a conditioned stimulus predicting food, eliciting conditioned approach, vocalizing, and rubbing. Those behaviors are also operantly reinforced by food delivery and professor attention. Professor Catlove is classically conditioned to open cans routinely and operantly reinforced by reduced meowing. Cats may also learn by observing others’ approach.</w:t>
        <w:br/>
        <w:br/>
        <w:t xml:space="preserve">**References (peer‑reviewed):**  </w:t>
        <w:br/>
        <w:t xml:space="preserve">Pavlov, I. P. (1927). *Conditioned Reflexes*. Oxford University Press.  </w:t>
        <w:br/>
        <w:t xml:space="preserve">Skinner, B. F. (1938). *The Behavior of Organisms*. Appleton-Century.  </w:t>
        <w:br/>
        <w:t xml:space="preserve">Rescorla, R. A., &amp; Wagner, A. R. (1972). A theory of Pavlovian conditioning: Variations in the effectiveness of reinforcement and nonreinforcement. In A. H. Black &amp; W. F. Prokasy (Eds.), *Classical Conditioning II*. Appleton-Century-Crofts.  </w:t>
        <w:br/>
        <w:t xml:space="preserve">Bandura, A., Ross, D., &amp; Ross, S. A. (1961). Transmission of aggression through imitation of aggressive models. *Journal of Abnormal and Social Psychology, 63*(3), 575–582.  </w:t>
        <w:br/>
        <w:t>Thorndike, E. L. (1898). Animal intelligence: An experimental study of the associative processes in animals. *Psychological Review Monograph Supplements, 2*(4), 1–109.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