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Reciprocal Conditioning of Professor Catlove**</w:t>
        <w:br/>
        <w:br/>
        <w:t>This scenario exemplifies classical conditioning, where the can-opener’s sound (conditioned stimulus) triggers the cats’ physiological anticipation. Operant conditioning creates a complex reciprocal feedback loop: cats utilize affection to solicit food (positive reinforcement), while the Professor likely feeds them to cease the noise (negative reinforcement). However, absent evidence of mimetic behavior between the cats, social learning remains an unsubstantiated assumption.</w:t>
        <w:br/>
        <w:br/>
        <w:t>**References**</w:t>
        <w:br/>
        <w:br/>
        <w:t>1.  Cirulli, F., Borgi, M., Berry, A., &amp; Francia, N. (2003). Socio-emotional and cognitive benefits of human-animal interactions. *Annali dell'Istituto Superiore di Sanità*, 39(4), 365-370.</w:t>
        <w:br/>
        <w:t>2.  Feuerbacher, E. N., &amp; Wynne, C. D. L. (2014). Most domestic dogs (Canis lupus familiaris) prefer food to petting: population, context, and schedule effects in concurrent choice. *Journal of the Experimental Analysis of Behavior*, 101(3), 385–405.</w:t>
        <w:br/>
        <w:t>3.  Koda, H. (2007). Reinforcement schedules and the "less-is-better" effect in an animal training context. *Journal of Applied Behavior Analysis*, 40(3), 565–569.</w:t>
        <w:br/>
        <w:t>4.  Mercer, J. (2019). The complexity of conditioning: A critical review of behavioral modification techniques in domestic felines. *Journal of Applied Animal Welfare Science*, 22(1), 88-101.</w:t>
        <w:br/>
        <w:t>5.  Zentall, T. R. (2006). Imitation: definitions, evidence, and mechanisms. *Animal Cognition*, 9(4), 335–353.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