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Do the data support the hypothesis that social service spending is inversely related to economic growth?</w:t>
        <w:br/>
        <w:br/>
        <w:t>### Introduction and hypothesis</w:t>
        <w:br/>
        <w:t>The hypothesis—“social service spending is inversely related to economic growth”—claims a negative relationship: as social welfare spending (here, social welfare spending as a percent of GDP) rises, GDP annual growth should tend to fall. This proposition is intuitively appealing to many critics of the welfare state, who argue that higher social outlays require higher taxes or borrowing, potentially weakening incentives to work and invest. Yet a large peer‑reviewed literature suggests the relationship is theoretically ambiguous: welfare spending can reduce growth through distortions, but it can also *support* growth through automatic stabilization, human-capital formation, risk reduction that encourages entrepreneurship, and political support for open markets (Atkinson, 1995; Lindert, 2004; Bergh &amp; Henrekson, 2011). Using the attached OECD/World Bank data for ten European countries across five years (2000, 2005, 2010, 2016, 2019), this essay evaluates the extent to which the observed patterns support a general inverse relationship.</w:t>
        <w:br/>
        <w:br/>
        <w:t>### What the data contain—and what they do not</w:t>
        <w:br/>
        <w:t>The dataset pairs (1) **social welfare spending as % of GDP** and (2) **real GDP annual growth (%)**. This is a simple cross-country, multi-year snapshot, not a full panel econometric design. It lacks controls for demography, labor-market institutions, baseline income levels, debt dynamics, monetary policy, or business-cycle position—factors known to influence both spending ratios and growth (Barro, 1991; Alesina &amp; Perotti, 1996). Also crucial: because spending is measured as a **share of GDP**, the ratio can increase mechanically when GDP growth falls (the denominator effect), even if nominal spending does not surge. That creates a built-in risk of finding a spurious negative association in bad years. Consequently, the data can offer suggestive descriptive evidence, but they are not well suited to establishing causality.</w:t>
        <w:br/>
        <w:br/>
        <w:t>### Descriptive patterns: weak and inconsistent support for an inverse relationship</w:t>
        <w:br/>
        <w:t>A strict version of the hypothesis would predict that the highest-spending countries show systematically lower growth, both across countries and over time. The data only weakly fit that story.</w:t>
        <w:br/>
        <w:br/>
        <w:t>#### Cross-sectional comparisons (same year, different countries)</w:t>
        <w:br/>
        <w:t>Consider **2019**. France has the highest welfare share (31.2%) and low growth (2.02%). Italy is also high spending (28.2%) with very low growth (0.43). These cases look consistent with an inverse relationship. But the same year undermines a general claim: Sweden spends 26.1% and grows 2.55 (higher than France), Belgium spends 28.9% and grows 2.44, and Spain spends 23.7% and grows 1.96. The ranking of growth does not line up cleanly with the ranking of welfare shares.</w:t>
        <w:br/>
        <w:br/>
        <w:t>Now consider **2010**, a year that reflects different post-crisis rebound dynamics. Sweden has relatively high spending (26.3%) and very high growth (5.75). Germany, with lower spending (25.9%), grows 4.15, while France (30.7%) grows 2.00 and Spain (25.8%) grows near zero (0.09). Here, high spending does not uniformly imply low growth; rather, countries’ crisis exposures and recovery paths appear to dominate. This aligns with research emphasizing that macroeconomic performance is jointly shaped by institutions and shocks, and that simple spending-growth correlations are unstable across time and samples (Bergh &amp; Henrekson, 2011).</w:t>
        <w:br/>
        <w:br/>
        <w:t>#### Within-country comparisons (same country, different years)</w:t>
        <w:br/>
        <w:t>If welfare spending constrains growth, then increases in welfare share within a country should be followed by lower growth. The series does not show a consistent pattern.</w:t>
        <w:br/>
        <w:br/>
        <w:t>- **Sweden**: spending rises from 26.8 (2000) to 27.4 (2005) then falls to 26.3 (2010) and 26.1 (2019). Growth is high in 2010 (5.75) despite mid‑20s spending; growth is also solid in 2000 (4.63). The shifts in growth appear far larger than the shifts in the welfare ratio, suggesting other drivers.</w:t>
        <w:br/>
        <w:t>- **Spain**: spending is 19.5 (2000) → 20.4 (2005) → 25.8 (2010) → 24.6 (2016) → 23.7 (2019). Growth collapses to 0.09 in 2010 when the welfare share is high. But this is exactly where the denominator effect and crisis-era automatic stabilizers are likely: when GDP falls or stagnates, welfare spending rises as a share of GDP due to unemployment and transfers, even if policy generosity does not increase proportionally. This is consistent with welfare spending acting as a stabilizer rather than a pure drag (Atkinson, 1995).</w:t>
        <w:br/>
        <w:t>- **Denmark**: spending is roughly stable in the high 20s (23.8 in 2000 to 28–29 later). Growth is 3.72 (2000), 2.36 (2005), 1.58 (2010), then 3.07 (2016). No monotonic negative relationship appears.</w:t>
        <w:br/>
        <w:br/>
        <w:t>Overall, the within-country trajectories do not demonstrate a stable inverse relationship. Growth varies considerably year to year, while welfare spending shares move more slowly and are partly endogenous to economic conditions.</w:t>
        <w:br/>
        <w:br/>
        <w:t>### Context and assumptions: why the hypothesis is too simple for these data</w:t>
        <w:br/>
        <w:t>The inverse-growth hypothesis rests on several assumptions that must be questioned.</w:t>
        <w:br/>
        <w:br/>
        <w:t>1. **Assumption: welfare spending is exogenous.** In reality, welfare spending is partly a *response* to growth conditions (automatic stabilizers, unemployment insurance) and to demographic pressures (aging). Endogeneity biases simple comparisons (Alesina &amp; Perotti, 1996).</w:t>
        <w:br/>
        <w:t>2. **Assumption: all welfare spending is economically similar.** Peer-reviewed work stresses composition matters. Spending on unemployment benefits, pensions, healthcare, and family policy can have different growth effects; lumping them together may hide offsetting mechanisms (Atkinson, 1995; Bergh &amp; Henrekson, 2011).</w:t>
        <w:br/>
        <w:t>3. **Assumption: the mechanism is contemporaneous.** Growth effects may occur with long lags (human capital, labor supply decisions), while the data are only five scattered years.</w:t>
        <w:br/>
        <w:t>4. **Assumption: the GDP-share measure is neutral.** Because the spending variable is % of GDP, recessions can raise the ratio even without discretionary expansion—creating the appearance of “high spending causes low growth,” when “low growth raises the spending ratio” is plausible.</w:t>
        <w:br/>
        <w:br/>
        <w:t>These caveats match the broader literature. For example, Barro’s (1991) cross-country growth framework highlights how many institutional and policy variables correlate with growth, making bivariate claims fragile. Studies of welfare states often find that once you account for institutional complementarities and financing, high-spending countries can maintain strong performance (Lindert, 2004), though there may be conditional tradeoffs depending on tax design and labor-market structure (Bergh &amp; Henrekson, 2011).</w:t>
        <w:br/>
        <w:br/>
        <w:t>### A balanced position: limited support, but not decisive—and likely confounded</w:t>
        <w:br/>
        <w:t>The attached data provide **some superficial instances** consistent with an inverse relationship (e.g., Italy and France’s high welfare shares paired with relatively low growth in 2019; Spain’s high welfare share and near-zero growth in 2010). However, the relationship is **not consistent across countries or across time**, and several prominent observations contradict a simple inverse pattern (e.g., Sweden’s strong 2010 growth with mid-to-high welfare spending; Belgium’s solid 2019 growth despite very high welfare share). Given the likely endogeneity of welfare ratios to the business cycle—especially around crisis and recovery years—the negative cases are plausibly driven by macroeconomic shocks that simultaneously depress growth and raise welfare spending as a share of GDP.</w:t>
        <w:br/>
        <w:br/>
        <w:t>### Conclusion and implications</w:t>
        <w:br/>
        <w:t>To a **limited extent**, the data can be read as compatible with the hypothesis in certain country-year snapshots, but they **do not robustly support** a general claim that higher social welfare spending is inversely related to economic growth. The observed patterns are mixed and plausibly confounded by business-cycle effects and by the mechanical properties of measuring spending as a share of GDP. A more defensible test would use a panel model with country fixed effects, controls for demographic structure and crisis conditions, lags for spending, and (ideally) instruments or policy reforms to address endogeneity (Barro, 1991; Alesina &amp; Perotti, 1996). Substantively, the broader research suggests that whether welfare spending dampens or supports growth depends on design and financing—and that the “big welfare state, low growth” claim is too blunt to be validated by this dataset alone (Atkinson, 1995; Lindert, 2004; Bergh &amp; Henrekson, 2011).</w:t>
        <w:br/>
        <w:br/>
        <w:t>---</w:t>
        <w:br/>
        <w:br/>
        <w:t>## References (peer-reviewed)</w:t>
        <w:br/>
        <w:t>- Alesina, A., &amp; Perotti, R. (1996). Income distribution, political instability, and investment. *European Economic Review, 40*(6), 1203–1228.</w:t>
        <w:br/>
        <w:t>- Atkinson, A. B. (1995). The welfare state and economic performance. *National Tax Journal, 48*(2), 171–198.</w:t>
        <w:br/>
        <w:t>- Barro, R. J. (1991). Economic growth in a cross section of countries. *The Quarterly Journal of Economics, 106*(2), 407–443.</w:t>
        <w:br/>
        <w:t>- Bergh, A., &amp; Henrekson, M. (2011). Government size and growth: A survey and interpretation of the evidence. *Journal of Economic Surveys, 25*(5), 872–897.</w:t>
        <w:br/>
        <w:t>- Lindert, P. H. (2004). The rise of social spending, 1880–1930. *Explorations in Economic History, 41*(1), 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