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Boston’s metropolitan real estate market in 2024 sits at the intersection of three powerful forces: (1) a structurally constrained housing supply shaped by zoning, permitting frictions, and high construction costs; (2) demand anchored by the region’s unusually dense concentration of “eds-and-meds,” biotech, and knowledge-economy employment; and (3) a post‑pandemic reset in interest rates and office utilization that has reshuffled risk and opportunity across asset classes. Taken together, these forces have kept most residential segments expensive and competitive even as higher borrowing costs cooled transaction volume, while simultaneously creating unusually compelling, policy-supported opportunities in adaptive reuse and “missing middle” housing near transit. This essay analyzes Boston-area conditions in 2024, synthesizes the major patterns that matter to investors, and identifies the best risk-adjusted opportunities across property types and submarkets.</w:t>
        <w:br/>
        <w:br/>
        <w:t>### Market context and demand fundamentals</w:t>
        <w:br/>
        <w:br/>
        <w:t>The Boston metropolitan area remains a high-income, high-education labor market with durable demand drivers. Long-run research on housing markets shows that local income growth, employment clustering, and supply restrictions jointly shape prices and rents—especially in “superstar” cities with inelastic supply (Glaeser, Gyourko, &amp; Saks, 2005). Boston exhibits many of these characteristics: a large base of stable institutional employers (universities, hospitals), a strong innovation economy, and a regulatory environment that tends to limit rapid housing expansion. A second structural factor is the region’s well-documented tendency toward constrained new housing supply due to regulation and political economy dynamics; scholarship consistently finds that stricter land-use controls are associated with higher prices and reduced construction responsiveness (Gyourko, Saiz, &amp; Summers, 2008). In 2024, these dynamics remain visible in the gap between persistent household formation pressures and the slow pace of net new units in many high-demand municipalities.</w:t>
        <w:br/>
        <w:br/>
        <w:t>For investors, the implication is that Boston’s residential rents and prices are supported by fundamentals even when the cost of capital rises. Higher interest rates in 2023–2024 reduced affordability for owner-occupants, which can push marginal demand back toward rental housing—particularly in expensive metros where buying is already difficult. However, rent growth is not unlimited: tenant budgets, competition from new luxury supply (especially in certain inner-core neighborhoods), and political pressure for rent stabilization can cap upside. The most durable demand is therefore likely to be for “workforce” units—properties that rent below the luxury tier but still meet modern quality expectations—because they capture deep renter pools without relying on top-of-market pricing.</w:t>
        <w:br/>
        <w:br/>
        <w:t>### Supply constraints, spatial structure, and the “why Boston stays expensive” pattern</w:t>
        <w:br/>
        <w:br/>
        <w:t>A dominant pattern observed in 2024 is that Boston’s supply constraints operate not only citywide but also *spatially*: the most transit-accessible, job-proximate areas experience the strongest demand and the tightest competition for developable land. Urban economics research emphasizes that access to employment centers and transportation networks is capitalized into land and housing values (Alonso, 1964). In the Boston region—where commuter rail, subway lines, and key highway corridors define mobility—this dynamic contributes to persistent price gradients: submarkets with reliable transit and short commutes hold value even during cyclical slowdowns.</w:t>
        <w:br/>
        <w:br/>
        <w:t>At the same time, post-pandemic hybrid work has changed how centrality is priced, especially for office. While the residential market still values access to transit and amenities, office tenants have consolidated footprints and demanded higher-quality space. Older Class B/C office buildings—especially those lacking modern HVAC, floor plates, and amenities—face heightened obsolescence risk. This has created a bifurcation: “best-in-class” office assets in top locations may retain tenant interest, while commodity offices struggle with vacancies and repricing. For investors, this bifurcation matters because it opens a window for repositioning and conversion plays, but also raises the underwriting bar for traditional office acquisitions.</w:t>
        <w:br/>
        <w:br/>
        <w:t>### Segment-by-segment assessment for 2024</w:t>
        <w:br/>
        <w:br/>
        <w:t>**Multifamily (core and workforce).** Multifamily remains the most straightforward, fundamentally supported investment category in Greater Boston, but 2024 requires disciplined underwriting. Elevated interest rates compress leveraged returns and make “buying stabilized at a low cap rate” less forgiving. The best opportunities are (a) value-add workforce multifamily in municipalities with strong schools and transit access, where modest renovations can justify rent premiums without overshooting tenant demand; and (b) small-to-mid-size properties in inner-ring suburbs where permitting new competition is limited. Research on housing supply elasticity suggests that in heavily regulated markets, incumbent assets gain pricing power because new supply cannot quickly arbitrage rents downward (Glaeser et al., 2005; Gyourko et al., 2008). Investors should still stress-test for slower rent growth and higher operating expenses (insurance, utilities, labor), but the long-run demand backdrop remains favorable.</w:t>
        <w:br/>
        <w:br/>
        <w:t>**Student housing and “eds-and-meds” adjacency.** Boston’s universities create stable, countercyclical rental demand, but the strategy must be localized. Proximity to major campuses (e.g., in neighborhoods served by rail and subway) tends to support low vacancy, while regulatory scrutiny and neighborhood opposition can complicate operations. The key pattern in 2024 is that student demand is steady, but tenants are increasingly sensitive to unit quality and building services, making selective upgrades important.</w:t>
        <w:br/>
        <w:br/>
        <w:t>**Life science and lab space.** After several years of exuberance, the life science market in 2024 is more nuanced. Venture funding volatility and sublease availability have cooled the lab leasing frenzy, but Boston/Cambridge still anchors a globally significant biotech cluster. For investors, the strongest opportunities are not speculative ground-up lab in fringe locations; rather, they are (a) well-located, institutionally backed lab assets with durable credit tenants, and (b) opportunistic acquisitions of partially leased or mispriced assets where capitalization rates have adjusted. The risk is that lab buildouts are capital intensive and re-tenanting can be slow. Underwriting should prioritize tenant credit quality, remaining lease terms, and the building’s technical suitability.</w:t>
        <w:br/>
        <w:br/>
        <w:t>**Office: selective buy, heavy reposition, or avoid.** The most significant pattern in 2024 is office repricing and functional obsolescence. Investors should treat most commodity office assets as turnaround situations, not bond-like income streams. Opportunities exist in (a) acquiring distressed or discounted office buildings for conversion to residential, hotel, or mixed-use where zoning and physical design allow; and (b) repositioning well-located assets into “flight-to-quality” products. The conversion thesis is strengthened by academic work showing that housing supply constraints and high demand can justify adaptive reuse when economics and policy align (Gyourko et al., 2008). Yet not every building converts: floor plates, window lines, egress, and mechanical systems often make conversions infeasible without large subsidies or purchase discounts.</w:t>
        <w:br/>
        <w:br/>
        <w:t>**Single-family and small multifamily (condo and 2–4 unit).** In many Boston-area neighborhoods, the small multifamily/condo segment remains liquid but expensive. High rates can create opportunities to buy from rate-locked sellers who delayed listing earlier, but investors must be cautious about exit liquidity and condo association risks. Where feasible, “gentle density” strategies—legalizing accessory dwelling units (ADUs) or adding bedrooms through permitted reconfiguration—can unlock value. Transit-proximate, family-friendly inner suburbs remain resilient because they combine school quality with access to the urban job base, consistent with spatial bidding models (Alonso, 1964).</w:t>
        <w:br/>
        <w:br/>
        <w:t>### Best investment opportunities in the Boston metro area (2024)</w:t>
        <w:br/>
        <w:br/>
        <w:t>1. **Workforce multifamily value-add in inner-ring suburbs with transit access.** The best risk-adjusted play is often not luxury; it is well-located, middle-market rental housing where operational improvements (energy efficiency, unit upgrades, better management) can raise NOI without depending on aggressive rent growth. This strategy benefits from deep demand and limited competitive supply (Glaeser et al., 2005).</w:t>
        <w:br/>
        <w:br/>
        <w:t>2. **Adaptive reuse: office-to-residential in targeted corridors.** With office values resetting, the spread between “office pricing” and “residential income value” has widened in certain cases. Investors who can source buildings with conversion-friendly geometry and secure municipal cooperation may capture both financial upside and political support, because conversions add housing without new land consumption. The main constraint is feasibility; the advantage is that Boston’s underlying housing scarcity makes new units valuable (Gyourko et al., 2008).</w:t>
        <w:br/>
        <w:br/>
        <w:t>3. **Selective lab acquisitions with realistic lease-up assumptions.** Rather than chasing peak-era valuations, 2024 favors buying quality lab assets at repriced levels or structuring deals with downside protection. Boston’s cluster advantages are real, but the near-term leasing environment demands patience and capital discipline.</w:t>
        <w:br/>
        <w:br/>
        <w:t>4. **Small multifamily with “gentle density” upside (ADUs, basement legalization where permitted, bedroom adds).** In supply-constrained metros, incremental unit creation can be disproportionately valuable. Investors should prioritize regulatory compliance and community relations, but the long-run economics are supported by Boston’s persistent supply-demand imbalance.</w:t>
        <w:br/>
        <w:br/>
        <w:t>### Key takeaways and conclusion</w:t>
        <w:br/>
        <w:br/>
        <w:t>The defining insight from the 2024 Boston market is that *capital market conditions changed faster than local housing fundamentals*. Higher interest rates reduced transaction volume and challenged leveraged returns, but the region’s structural supply constraints and durable employment base continued to support residential demand. This combination favors investors who emphasize operational excellence and realistic underwriting over speculative appreciation. Patterns of spatial value—especially transit access and proximity to major job and institutional nodes—remain strong, consistent with classic urban economic theory (Alonso, 1964). Meanwhile, office market distress is not merely cyclical; it is partly structural, driven by hybrid work and a sharper tenant preference for quality. That distress, however, is precisely what creates opportunity: adaptive reuse and targeted repositioning can transform obsolescence into supply, aligning investor returns with regional housing needs.</w:t>
        <w:br/>
        <w:br/>
        <w:t>In sum, Boston in 2024 rewards strategies that respect scarcity, avoid overbuilding risk, and exploit the market’s segmentation. Workforce multifamily, conversion-ready adaptive reuse, and selectively priced lab assets stand out as the best opportunities—provided investors pair them with conservative assumptions, a clear path to entitlement or lease-up, and a plan for higher-for-longer financing costs. The Boston metro remains expensive because it is productive, supply-constrained, and spatially organized around access and institutions. Investors who align with those realities can still find compelling opportunities even in a higher-rate environment.</w:t>
        <w:br/>
        <w:br/>
        <w:t>---</w:t>
        <w:br/>
        <w:br/>
        <w:t>### References (peer-reviewed)</w:t>
        <w:br/>
        <w:br/>
        <w:t xml:space="preserve">- Alonso, W. (1964). *Location and Land Use: Toward a General Theory of Land Rent*. Harvard University Press.  </w:t>
        <w:br/>
        <w:t xml:space="preserve">- Glaeser, E. L., Gyourko, J., &amp; Saks, R. E. (2005). Why have housing prices gone up? *American Economic Review, 95*(2), 329–333.  </w:t>
        <w:br/>
        <w:t xml:space="preserve">- Gyourko, J., Saiz, A., &amp; Summers, A. A. (2008). A new measure of the local regulatory environment for housing markets: The Wharton Residential Land Use Regulatory Index. *Urban Studies, 45*(3), 693–729.  </w:t>
        <w:br/>
        <w:t xml:space="preserve">- Saiz, A. (2010). The geographic determinants of housing supply. *The Quarterly Journal of Economics, 125*(3), 1253–1296.  </w:t>
        <w:br/>
        <w:t xml:space="preserve">- Davis, M. A., &amp; Palumbo, M. G. (2008). The price of residential land in large U.S. cities. *Journal of Urban Economics, 63*(1), 352–384.  </w:t>
        <w:br/>
        <w:br/>
        <w:t>If you want, I can tailor the “best opportunities” section to a specific investor profile (e.g., $1–5M small multifamily, institutional multifamily, opportunistic conversion fund) and list concrete Boston-area submarkets that fit that profile.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