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Boston Metro Real Estate Investment Market Analysis (2024) — Undergrad (First-Semester) Essay (≤1000 words)</w:t>
        <w:br/>
        <w:br/>
        <w:t xml:space="preserve">### Introduction  </w:t>
        <w:br/>
        <w:t>The Boston Metropolitan Area in 2024 remained one of the most “expensive-but-resilient” housing markets in the U.S. Even with high interest rates and affordability pressure, Boston’s housing demand stayed strong because it has durable job engines (education, hospitals, biotech, tech), limited land, and zoning constraints that restrict new supply. For real estate investors, that combination tends to produce stable occupancy and rent growth—but also forces investors to be strategic about entry price, neighborhood selection, and risk (especially regulatory and financing risk). This analysis summarizes 2024 market conditions, key drivers, and the most promising investment opportunities in Greater Boston.</w:t>
        <w:br/>
        <w:br/>
        <w:t>---</w:t>
        <w:br/>
        <w:br/>
        <w:t xml:space="preserve">### 1) 2024 Market Conditions: Prices, Rents, and Transactions  </w:t>
        <w:br/>
        <w:t xml:space="preserve">**Home prices stayed high, but activity was constrained.** In 2024, Boston-area sale prices remained elevated relative to national averages. However, transaction volume was dampened by higher mortgage rates and a “lock-in effect,” where existing homeowners with low-rate mortgages choose not to sell. This creates low inventory, which supports prices, but it also reduces deal flow for investors.  </w:t>
        <w:br/>
        <w:br/>
        <w:t>**Rents were supported by tight vacancy and strong demand.** Boston’s rental market in 2024 reflected long-running structural undersupply. Boston is a major destination for young professionals and graduate students, and household formation in high-opportunity metros typically keeps rental demand firm even during economic slowdowns. Research consistently finds that supply limits and local demand drivers can sustain price and rent levels over time (Glaeser &amp; Gyourko, 2003).</w:t>
        <w:br/>
        <w:br/>
        <w:t>**Multifamily remained the “core” asset class, but underwriting got harder.** Higher interest rates in 2024 meant investors needed higher cap rates (returns) to justify purchases, but sellers often anchored to 2021–2022 valuations. That bid-ask gap was a major reason deals didn’t pencil out. The properties that did trade tended to be either (1) distress/forced sales, or (2) value-add assets where investors could raise rents by renovating units or improving management.</w:t>
        <w:br/>
        <w:br/>
        <w:t>---</w:t>
        <w:br/>
        <w:br/>
        <w:t xml:space="preserve">### 2) Key Demand Drivers in Boston Metro  </w:t>
        <w:br/>
        <w:t>**(a) Agglomeration economies (jobs cluster here).** Boston benefits from dense job networks, especially in healthcare and higher education. Urban economics research shows that productivity and wages often rise with city size/density because firms and workers benefit from being near each other (Glaeser et al., 1992). That matters for real estate because high-wage job concentration supports housing demand.</w:t>
        <w:br/>
        <w:br/>
        <w:t>**(b) “Eds and meds” stability.** Hospitals and universities are relatively recession-resistant compared to cyclical industries. Boston’s huge student and research presence supports a constant inflow of renters and workers, smoothing out downturn risk.</w:t>
        <w:br/>
        <w:br/>
        <w:t>**(c) Housing supply constraints.** Boston’s geography (ocean, rivers), local zoning, and permitting complexity restrict how fast housing can be built. Research suggests that restrictive supply conditions are closely linked to higher housing prices (Glaeser &amp; Gyourko, 2003; Quigley &amp; Raphael, 2005). This helps explain why Boston can stay expensive even when rates rise.</w:t>
        <w:br/>
        <w:br/>
        <w:t>---</w:t>
        <w:br/>
        <w:br/>
        <w:t xml:space="preserve">### 3) Major Risks and Headwinds (2024)  </w:t>
        <w:br/>
        <w:t>**Interest rate risk and refinancing risk.** The biggest 2024 investor risk was financing. Even if rents are strong, a loan resetting from low rates to high rates can crush cash flow. This problem is especially relevant for investors who bought with short-term debt or aggressive assumptions.</w:t>
        <w:br/>
        <w:br/>
        <w:t>**Regulatory risk and tenant protections.** Massachusetts has strong tenant protections and active local politics around affordability. Investors have to pay attention to evolving rules on evictions, fees, and potential rent regulation proposals. Even without statewide rent control, policy uncertainty can affect long-term investment decisions.</w:t>
        <w:br/>
        <w:br/>
        <w:t>**Climate and insurance risk (flooding/coastal exposure).** Parts of the Boston area face climate-related risks, including storm surge and flooding concerns. Over the long run, rising climate risk can affect insurance costs and property values, especially in coastal or low-lying zones.</w:t>
        <w:br/>
        <w:br/>
        <w:t>---</w:t>
        <w:br/>
        <w:br/>
        <w:t xml:space="preserve">### 4) Significant Patterns Observed in 2024  </w:t>
        <w:br/>
        <w:t xml:space="preserve">**Pattern 1: “Low inventory, high price stickiness.”** Supply constraints plus owner lock-in reduced listings. That kept prices from dropping sharply even when borrowing costs were high.  </w:t>
        <w:br/>
        <w:br/>
        <w:t>**Pattern 2: Rent growth strongest where transit + amenities + job access overlap.** Neighborhoods with strong transit links and proximity to major employment nodes tended to outperform, consistent with evidence that location fundamentals drive value (Quigley &amp; Raphael, 2005).</w:t>
        <w:br/>
        <w:br/>
        <w:t>**Pattern 3: Value-add beats “fully priced core.”** In 2024, stabilized, fully renovated properties often didn’t offer enough yield to justify the cost of capital. Investors leaned toward properties with operational upside: outdated units, poor management, or under-market rents.</w:t>
        <w:br/>
        <w:br/>
        <w:t>---</w:t>
        <w:br/>
        <w:br/>
        <w:t xml:space="preserve">### 5) Best Real Estate Investment Opportunities (Boston Metro, 2024)  </w:t>
        <w:br/>
        <w:t>These opportunities are framed like a student investor would: what’s attractive *and why*, plus what to watch out for.</w:t>
        <w:br/>
        <w:br/>
        <w:t xml:space="preserve">#### Opportunity A: Small-to-mid multifamily (2–20 units) in “transit-accessible but not luxury-core” neighborhoods  </w:t>
        <w:br/>
        <w:t xml:space="preserve">**Why it’s good:** Multifamily demand is persistent in Boston. Smaller buildings can be mismanaged or outdated, allowing investors to add value through renovations, better tenant screening, utility submetering (where legal), and professional management. The long-run logic is supported by research on how constrained supply and strong demand maintain higher equilibrium prices (Glaeser &amp; Gyourko, 2003).  </w:t>
        <w:br/>
        <w:t xml:space="preserve">**Where (examples):** parts of Medford, Malden, Quincy, Waltham, Revere—especially near transit nodes.  </w:t>
        <w:br/>
        <w:t>**Risk:** renovation costs, permitting delays, and tenant protection compliance.</w:t>
        <w:br/>
        <w:br/>
        <w:t xml:space="preserve">#### Opportunity B: Student- and medical-worker-oriented rentals near major institutions  </w:t>
        <w:br/>
        <w:t xml:space="preserve">**Why it’s good:** Boston’s universities and hospitals create stable renter pipelines. Student and early-career professional demand can keep occupancy high even if the broader economy slows. Agglomeration and job clustering support demand (Glaeser et al., 1992).  </w:t>
        <w:br/>
        <w:t xml:space="preserve">**Where (examples):** Allston/Brighton edges, Mission Hill, Fenway-adjacent areas, Brookline border zones (pricing dependent).  </w:t>
        <w:br/>
        <w:t>**Risk:** higher property prices and stricter local rules; management intensity.</w:t>
        <w:br/>
        <w:br/>
        <w:t xml:space="preserve">#### Opportunity C: Condo conversions / “gentle density” where allowed (longer-term play)  </w:t>
        <w:br/>
        <w:t xml:space="preserve">**Why it’s good:** Where zoning allows, converting or adding units can create equity by increasing the number of rentable/sellable units. Supply restrictions make incremental added housing valuable (Quigley &amp; Raphael, 2005).  </w:t>
        <w:br/>
        <w:t xml:space="preserve">**Where (examples):** inner suburbs with pro-housing policies, certain redevelopment corridors.  </w:t>
        <w:br/>
        <w:t>**Risk:** political/zoning uncertainty; construction financing costs.</w:t>
        <w:br/>
        <w:br/>
        <w:t xml:space="preserve">#### Opportunity D: Light value-add in aging suburban rental stock (energy and systems upgrades)  </w:t>
        <w:br/>
        <w:t xml:space="preserve">**Why it’s good:** Older properties often have inefficiencies (heating, insulation, common areas). Efficiency upgrades can reduce operating expenses and improve NOI (net operating income), which matters a lot when cap rates are tight.  </w:t>
        <w:br/>
        <w:t xml:space="preserve">**Where (examples):** older garden-style complexes in parts of the Route 128/495 orbit.  </w:t>
        <w:br/>
        <w:t>**Risk:** upfront capital needs; rent ceiling if the location lacks amenities/transit.</w:t>
        <w:br/>
        <w:br/>
        <w:t>---</w:t>
        <w:br/>
        <w:br/>
        <w:t xml:space="preserve">### Conclusion  </w:t>
        <w:br/>
        <w:t>Boston in 2024 was not an “easy” market for investors because high interest rates and high prices made deals harder to justify. But Boston remained attractive because its fundamentals are unusually strong: it concentrates high-paying jobs, has stable anchor institutions, and faces deep, persistent housing supply constraints. The biggest pattern was that scarcity and demand kept pricing firm even as sales slowed. For investors, the best opportunities were not generic “buy anything” strategies, but targeted approaches: small multifamily value-add in transit-accessible neighborhoods, rentals aligned with hospitals/universities, and selective redevelopment where zoning supports added units. The main caution is that financing risk and regulatory complexity can turn a seemingly good property into a bad investment if the investor underestimates costs and constraints.</w:t>
        <w:br/>
        <w:br/>
        <w:t>---</w:t>
        <w:br/>
        <w:br/>
        <w:t xml:space="preserve">### References (peer-reviewed)  </w:t>
        <w:br/>
        <w:t xml:space="preserve">- Glaeser, E. L., Kallal, H. D., Scheinkman, J. A., &amp; Shleifer, A. (1992). Growth in cities. *Journal of Political Economy, 100*(6), 1126–1152.  </w:t>
        <w:br/>
        <w:t xml:space="preserve">- Glaeser, E. L., &amp; Gyourko, J. (2003). The impact of building restrictions on housing affordability. *Economic Policy Review, 9*(2), 21–39.  </w:t>
        <w:br/>
        <w:t xml:space="preserve">- Quigley, J. M., &amp; Raphael, S. (2005). Regulation and the high cost of housing in California. *American Economic Review, 95*(2), 323–328.  </w:t>
        <w:br/>
        <w:t xml:space="preserve">- Saiz, A. (2010). The geographic determinants of housing supply. *Quarterly Journal of Economics, 125*(3), 1253–1296.  </w:t>
        <w:br/>
        <w:t>- Campbell, J. Y., Giglio, S., &amp; Pathak, P. (2011). Forced sales and house prices. *American Economic Review, 101*(5), 2108–2131.</w:t>
        <w:br/>
        <w:br/>
        <w:t>---</w:t>
        <w:br/>
        <w:br/>
        <w:t>If you want, I can (1) tailor this to a specific investor type (small landlord vs. institutional), (2) add a simple table comparing neighborhoods/suburbs by “price level vs. rent potential,” or (3) rewrite it in a more formal academic style while staying under 1000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