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Boston Metro Real Estate Investment Market Analysis (2024): Opportunities, Risks, and What Actually Matters</w:t>
        <w:br/>
        <w:br/>
        <w:t>### 1) Issue statement and why it is hard (but worth analyzing)</w:t>
        <w:br/>
        <w:t>The problem investors face in the Boston Metropolitan Area in 2024 is not simply “Is housing expensive?”—it is whether buying (or building, renovating, or repositioning) real estate can still produce acceptable risk-adjusted returns in a market with (1) very high prices, (2) higher-for-longer interest rates, (3) uneven post-pandemic space demand (especially offices), and (4) persistent housing shortages that push rents up while also increasing political pressure for tenant protections and zoning reform.</w:t>
        <w:br/>
        <w:br/>
        <w:t>Boston is also unusual because its demand drivers are not one-dimensional. The region has durable “anchor” sectors—education, healthcare, biotech, and advanced research—that stabilize housing demand even when other cities weaken. At the same time, those same strengths can inflate costs (land, labor, regulation), making development harder and returns more dependent on execution. Real estate here is less about finding a “cheap” deal and more about choosing the right *strategy* under constraints: housing supply is tight, approvals are slow, and financing is expensive.</w:t>
        <w:br/>
        <w:br/>
        <w:t>**Thesis (my position):** In 2024 Boston remains investable, but the best opportunities are increasingly “constraint-aware” and operational: small-to-mid multifamily in transit-accessible neighborhoods, value-add retrofits that reduce operating costs, and selective industrial/life-science-adjacent assets. Traditional core office is the weakest risk-adjusted bet unless paired with conversion, specialized tenancy, or deep discount pricing. This position accepts that no strategy is risk-free, and outcomes depend heavily on regulation, financing terms, and neighborhood-level supply additions.</w:t>
        <w:br/>
        <w:br/>
        <w:t>---</w:t>
        <w:br/>
        <w:br/>
        <w:t>### 2) Evidence and what it suggests (not just repeating experts)</w:t>
        <w:br/>
        <w:t>Peer-reviewed research helps frame Boston’s patterns in a way that headline statistics can’t. First, housing markets are shaped by *durable supply constraints*—not only land scarcity but also regulation and community veto points. Classic work shows that when supply is inelastic, demand shocks translate into higher prices and rents rather than new units (Glaeser, Gyourko, &amp; Saks, 2005). That fits Boston: strong job clusters meet slow housing growth, producing chronic affordability stress and steady rent pressure.</w:t>
        <w:br/>
        <w:br/>
        <w:t>Second, the “Boston model” relies on agglomeration: high-skill workers and innovative firms cluster because proximity improves productivity, learning, and matching (Glaeser, 2011). That makes demand resilient, but it can also create fragility: if a cluster (e.g., biotech) slows, neighborhoods over-exposed to that tenant base can feel it quickly. So it’s not enough to say “Boston is strong”—an investor needs to ask *which* subsector is driving the marginal tenant and whether that demand is cyclical.</w:t>
        <w:br/>
        <w:br/>
        <w:t>Third, office markets are undergoing structural change. Remote/hybrid work reduced the “need” for traditional office space, and research argues that the shock is not evenly distributed: older, commodity offices get hit hardest while best-in-class space is more resilient (Gupta, Mittal, Peeters, &amp; Van Nieuwerburgh, 2022). In Boston, that implies a “barbell” pattern: prime, amenity-rich, transit-connected offices may lease, while B/C assets face prolonged vacancy or conversion pressure.</w:t>
        <w:br/>
        <w:br/>
        <w:t>Finally, financing conditions matter as much as local demand. Higher rates can reduce prices even when rents hold up because buyers’ required yields increase. Studies of real estate cycles show that credit conditions can amplify booms and busts (see Davis &amp; Zhu, 2009). In 2024, the “amplifier” is tighter lending and more conservative underwriting—meaning deals that worked in 2021 often fail in 2024 even if the building didn’t change.</w:t>
        <w:br/>
        <w:br/>
        <w:t>**What I question in common “expert takes”:**</w:t>
        <w:br/>
        <w:t>- The claim “Boston is recession-proof” is overstated. Anchors help, but cyclicality still appears through capital markets and specific sectors (e.g., venture funding for biotech).</w:t>
        <w:br/>
        <w:t>- The claim “office is dead” is also too broad. Some office demand persists; the real question is whether a given building can compete or be repurposed without destroying returns.</w:t>
        <w:br/>
        <w:br/>
        <w:t>---</w:t>
        <w:br/>
        <w:br/>
        <w:t>### 3) Context and assumptions (mine and the market’s)</w:t>
        <w:br/>
        <w:t>To analyze “best investments,” I have to be explicit about assumptions:</w:t>
        <w:br/>
        <w:br/>
        <w:t>**Assumptions I’m making**</w:t>
        <w:br/>
        <w:t>1. **Rates stay elevated through much of 2024** relative to 2010s norms, keeping cap rates from compressing quickly.</w:t>
        <w:br/>
        <w:t>2. **Boston’s housing shortage persists** because approvals, labor costs, and neighborhood opposition slow deliveries (consistent with supply inelasticity research).</w:t>
        <w:br/>
        <w:t>3. **Hybrid work remains common**, keeping overall office demand below 2019 levels, with strong quality differentiation.</w:t>
        <w:br/>
        <w:t>4. **Policy risk increases**: affordability pressure raises the probability of tighter rental regulation, inclusionary zoning expansion, or stricter permitting conditions.</w:t>
        <w:br/>
        <w:br/>
        <w:t>**Contexts that change the answer**</w:t>
        <w:br/>
        <w:t>- **Neighborhood zoning and transit access**: In a constrained market, micro-location matters because new supply cannot easily “arbitrage away” price gaps.</w:t>
        <w:br/>
        <w:t>- **Building vintage and energy performance**: Older buildings face higher maintenance and potential emissions/efficiency compliance costs; retrofits can be both a cost and an opportunity.</w:t>
        <w:br/>
        <w:t>- **Tenant base**: student/medical renters behave differently than discretionary luxury renters.</w:t>
        <w:br/>
        <w:br/>
        <w:t>---</w:t>
        <w:br/>
        <w:br/>
        <w:t>### 4) Key findings and patterns observed in 2024 Boston Metro</w:t>
        <w:br/>
        <w:t>#### Pattern A: “Supply constraint premium” supports multifamily</w:t>
        <w:br/>
        <w:t>Boston’s persistent supply limits mean that even when prices are high, occupancy and rents tend to be relatively supported. Inelastic supply markets convert demand growth into price growth (Glaeser et al., 2005). For investors, this favors **multifamily** strategies where the main risk is not demand collapse but (1) overpaying, (2) financing stress, and (3) regulation.</w:t>
        <w:br/>
        <w:br/>
        <w:t>#### Pattern B: A K-shaped commercial market (especially office)</w:t>
        <w:br/>
        <w:t>Office fundamentals are splitting. Newer, high-quality, transit-oriented assets can still attract tenants, while older stock struggles. This aligns with evidence that remote work shifts demand away from generic office space (Gupta et al., 2022). Boston’s dense core and transit network intensify that sorting effect.</w:t>
        <w:br/>
        <w:br/>
        <w:t>#### Pattern C: “Operational alpha” beats “market beta”</w:t>
        <w:br/>
        <w:t>When cap-rate compression is unlikely, the main way to win is not waiting for appreciation but improving NOI (net operating income): energy retrofits, unit upgrades, better tenant retention, and expense management. This is not glamorous, but it matches a high-rate environment where cash flow matters more than price momentum.</w:t>
        <w:br/>
        <w:br/>
        <w:t>#### Pattern D: Industrial/logistics remains comparatively durable</w:t>
        <w:br/>
        <w:t>Industrial demand is supported by e-commerce, healthcare supply chains, and regional distribution needs. The risk is that many investors already know this—so pricing can be rich—meaning underwriting must stress-test rent growth.</w:t>
        <w:br/>
        <w:br/>
        <w:t>---</w:t>
        <w:br/>
        <w:br/>
        <w:t>### 5) Best investment opportunities (with clear reasoning and limits)</w:t>
        <w:br/>
        <w:t>#### Opportunity 1: Small-to-mid multifamily in transit-accessible neighborhoods (value-add, not luxury-only)</w:t>
        <w:br/>
        <w:t>**Why it works:** Boston’s supply constraints and agglomeration economy support rental demand (Glaeser, 2011; Glaeser et al., 2005). Small-to-mid buildings (triple-deckers, 10–50 units) can allow hands-on improvements that institutions ignore.</w:t>
        <w:br/>
        <w:br/>
        <w:t>**What to look for (2024):**</w:t>
        <w:br/>
        <w:t>- Buildings with fixable expense problems (heat losses, water usage, poor turnover management).</w:t>
        <w:br/>
        <w:t>- Units priced below “Class A” but in stable neighborhoods near MBTA nodes.</w:t>
        <w:br/>
        <w:t>- Conservative leverage given refinancing risk.</w:t>
        <w:br/>
        <w:br/>
        <w:t>**Limits/risks:** Regulation (rent stabilization efforts), community opposition to changes, and renovation cost overruns. Also, “value-add” can fail if tenant displacement triggers reputational and legal risk.</w:t>
        <w:br/>
        <w:br/>
        <w:t>#### Opportunity 2: Office-to-residential (or mixed-use) conversions—selective, not universal</w:t>
        <w:br/>
        <w:t>**Why it works:** If office demand is structurally lower, some buildings will never recover without conversion (Gupta et al., 2022). Boston’s housing shortage makes residential reuse socially and economically attractive.</w:t>
        <w:br/>
        <w:br/>
        <w:t>**The catch:** Not all offices are convertible—floor plates, window lines, egress, mechanical systems, and zoning can kill feasibility. The opportunity is best for distressed assets bought at deep discounts where conversion costs still allow rents to pencil out.</w:t>
        <w:br/>
        <w:br/>
        <w:t>**Limits/risks:** Permitting uncertainty, construction complexity, and neighborhood pushback. A bad conversion can become a capital sink.</w:t>
        <w:br/>
        <w:br/>
        <w:t>#### Opportunity 3: Industrial/life-science-adjacent flex space (but avoid single-industry dependence)</w:t>
        <w:br/>
        <w:t>**Why it works:** Even if pure lab has cooled from its peak, research and healthcare ecosystems still generate demand for specialized and flex space. Agglomeration benefits can keep Boston competitive (Glaeser, 2011).</w:t>
        <w:br/>
        <w:br/>
        <w:t>**How to manage the risk:** Prefer flexible specs and diversified tenant profiles rather than underwriting everything to one sector’s boom.</w:t>
        <w:br/>
        <w:br/>
        <w:t>---</w:t>
        <w:br/>
        <w:br/>
        <w:t>### 6) Conclusion and implications (what follows from the analysis)</w:t>
        <w:br/>
        <w:t>Boston in 2024 is a market where **the macro story (high demand, limited supply)** is real, but **the investment outcome depends on constraints**: financing terms, regulation, building adaptability, and neighborhood-level supply. Research on inelastic supply supports the idea that housing will remain expensive and rents relatively supported (Glaeser et al., 2005), while research on remote work supports continued pressure on commodity office space (Gupta et al., 2022). Credit conditions can magnify downside if investors over-lever (Davis &amp; Zhu, 2009).</w:t>
        <w:br/>
        <w:br/>
        <w:t>**My prioritized conclusion:**</w:t>
        <w:br/>
        <w:t>1. **Best risk-adjusted opportunity:** transit-oriented multifamily with operational upside and conservative leverage.</w:t>
        <w:br/>
        <w:t>2. **Second-tier (higher risk, potentially high impact):** selective office conversions where the basis is low enough to survive uncertainty.</w:t>
        <w:br/>
        <w:t>3. **Specialized play:** industrial/flex tied to (but not dependent on) life-science and healthcare supply chains.</w:t>
        <w:br/>
        <w:br/>
        <w:t>**Consequences if I’m wrong:** If rates fall faster than expected, pricing could rise quickly and make acquisition harder (good for existing owners). If rates rise or a sector shock hits biotech/tech, vacancy and rent growth could weaken, making high-leverage strategies fragile. If regulation tightens significantly, value-add underwriting must shift from rent growth to cost reduction and stability.</w:t>
        <w:br/>
        <w:br/>
        <w:t>Overall, Boston remains attractive—but only for investors who treat it less like a momentum market and more like a constrained system where adaptability, policy awareness, and cash-flow discipline determine success.</w:t>
        <w:br/>
        <w:br/>
        <w:t>---</w:t>
        <w:br/>
        <w:br/>
        <w:t>### References (peer-reviewed)</w:t>
        <w:br/>
        <w:t xml:space="preserve">- Davis, E. P., &amp; Zhu, H. (2009). *Commercial property prices and bank performance*. **Quarterly Review of Economics and Finance**, 49(4), 1341–1359.  </w:t>
        <w:br/>
        <w:t xml:space="preserve">- Glaeser, E. L. (2011). *Triumph of the City: How Our Greatest Invention Makes Us Richer, Smarter, Greener, Healthier, and Happier* (urban agglomeration framework widely published in peer-reviewed outlets; foundational for city economics).  </w:t>
        <w:br/>
        <w:t xml:space="preserve">- Glaeser, E. L., Gyourko, J., &amp; Saks, R. E. (2005). *Why have housing prices gone up?* **American Economic Review (Papers and Proceedings)**, 95(2), 329–333.  </w:t>
        <w:br/>
        <w:t xml:space="preserve">- Gupta, A., Mittal, V., Peeters, J., &amp; Van Nieuwerburgh, S. (2022). *Flattening the Curve: Pandemic-Induced Revaluation of Urban Real Estate*. **Journal of Financial Economics**, 146(2), 594–636.  </w:t>
        <w:br/>
        <w:t>- Saiz, A. (2010). *The geographic determinants of housing supply*. **Quarterly Journal of Economics**, 125(3), 1253–1296.</w:t>
        <w:br/>
        <w:br/>
        <w:t>*(Note: Glaeser (2011) is a book; if your instructor requires strictly journal articles only, I can swap it for a peer-reviewed agglomeration paper and keep the citation count at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