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45F78C2" w:rsidP="44E4AD15" w:rsidRDefault="145F78C2" w14:paraId="412C3E0B" w14:textId="789C59C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Introduction</w:t>
      </w:r>
    </w:p>
    <w:p w:rsidR="145F78C2" w:rsidP="44E4AD15" w:rsidRDefault="145F78C2" w14:paraId="6418CE47" w14:textId="011479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Learning theories provide a powerful lens for interpreting everyday interactions between humans and animals. In the vignette of Professor Catlove opening a can of cat food, his cats rush into the kitchen, purring, meowing, and rubbing against his legs. While this may appear to be a simple domestic routine, it is in fact a rich demonstration of multiple psychological processes. Specifically, the scene exemplifies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classical conditioning</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operant conditioning</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social learning</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Importantly, both the cats and the professor are participants in this reciprocal system of conditioned behaviors. By critically examining this scenario, we can uncover not only how animals learn, but also how humans are shaped by their pets’ responses, revealing broader implications for behavioral psychology and human-animal relationships.</w:t>
      </w:r>
    </w:p>
    <w:p w:rsidR="44E4AD15" w:rsidP="44E4AD15" w:rsidRDefault="44E4AD15" w14:paraId="2D6C46E6" w14:textId="0D503B16">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650068E2" w14:textId="61A8A99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Classical Conditioning in the Cats’ Behavior</w:t>
      </w:r>
    </w:p>
    <w:p w:rsidR="145F78C2" w:rsidP="44E4AD15" w:rsidRDefault="145F78C2" w14:paraId="62E8EEAA" w14:textId="5B3C72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Classical conditioning, first described by Ivan Pavlov, occurs when a neutral stimulus becomes associated with a biologically significant stimulus, eliciting a conditioned response. In this case, the </w:t>
      </w:r>
      <w:r w:rsidRPr="44E4AD15" w:rsidR="145F78C2">
        <w:rPr>
          <w:rFonts w:ascii="Aptos" w:hAnsi="Aptos" w:eastAsia="Aptos" w:cs="Aptos"/>
          <w:b w:val="1"/>
          <w:bCs w:val="1"/>
          <w:i w:val="0"/>
          <w:iCs w:val="0"/>
          <w:caps w:val="0"/>
          <w:smallCaps w:val="0"/>
          <w:noProof w:val="0"/>
          <w:color w:val="000000" w:themeColor="text1" w:themeTint="FF" w:themeShade="FF"/>
          <w:sz w:val="24"/>
          <w:szCs w:val="24"/>
          <w:lang w:val="en-US"/>
        </w:rPr>
        <w:t>sound of the can opening</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 functions as the conditioned stimulus (CS). Initially neutral, the sound becomes paired with the unconditioned stimulus (US)—the cat food. The unconditioned response (UR) is the cats’ natural excitement and salivation elicited by food. Over repeated pairings, the cats begin to exhibit conditioned responses (CR), such as running into the kitchen, vocalizing, and rubbing against Professor Catlove’s legs, upon hearing the can alone.</w:t>
      </w:r>
    </w:p>
    <w:p w:rsidR="145F78C2" w:rsidP="44E4AD15" w:rsidRDefault="145F78C2" w14:paraId="2C68BE7E" w14:textId="09ACB5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This process mirrors Pavlov’s experiments with dogs, where the sound of a bell became associated with food presentation, leading to salivation in response to the bell alone. However, unlike Pavlov’s controlled laboratory setting, the cats’ environment is dynamic and social. Their conditioned responses are not limited to salivation but extend to complex social behaviors, such as rubbing against the professor, which may reflect both anticipation of food and affiliative bonding. This highlights the flexibility of classical conditioning in naturalistic contexts.</w:t>
      </w:r>
    </w:p>
    <w:p w:rsidR="44E4AD15" w:rsidP="44E4AD15" w:rsidRDefault="44E4AD15" w14:paraId="66B6352B" w14:textId="1A6B3B17">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5CDB9396" w14:textId="0300CB8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Operant Conditioning in the Cats’ Behavior</w:t>
      </w:r>
    </w:p>
    <w:p w:rsidR="145F78C2" w:rsidP="44E4AD15" w:rsidRDefault="145F78C2" w14:paraId="58F79072" w14:textId="3A536B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Operant conditioning, developed by B.F. Skinner, emphasizes how consequences shape behavior. In this scenario, the cats’ actions—running into the kitchen, meowing, and rubbing against Professor Catlove—are reinforced by the delivery of food. Their vocalizations and physical contact may increase the likelihood that Professor Catlove provides food promptly, functioning as positive reinforcement.</w:t>
      </w:r>
    </w:p>
    <w:p w:rsidR="145F78C2" w:rsidP="44E4AD15" w:rsidRDefault="145F78C2" w14:paraId="74E1EC46" w14:textId="06E940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Importantly, the reinforcement schedule is consistent: each morning, the cats’ behaviors are rewarded with food. This predictability strengthens the operant conditioning process. Yet, the cats’ persistence in these behaviors also suggests that intermittent reinforcement may play a role. For example, if their meowing sometimes results in faster feeding, the unpredictability enhances the strength of the behavior, consistent with Skinner’s findings on variable reinforcement schedules.</w:t>
      </w:r>
    </w:p>
    <w:p w:rsidR="145F78C2" w:rsidP="44E4AD15" w:rsidRDefault="145F78C2" w14:paraId="15B23C8B" w14:textId="458E26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From the professor’s perspective, operant conditioning is reciprocal. The cats’ affectionate behaviors serve as reinforcement for him, encouraging his continued practice of feeding them at the same time. Their purring and rubbing are socially rewarding, reinforcing his caregiving behavior. Thus, both parties are engaged in a cycle of mutual reinforcement.</w:t>
      </w:r>
    </w:p>
    <w:p w:rsidR="44E4AD15" w:rsidP="44E4AD15" w:rsidRDefault="44E4AD15" w14:paraId="07338058" w14:textId="3F69C956">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233336AA" w14:textId="7F36C33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Social Learning Among the Cats</w:t>
      </w:r>
    </w:p>
    <w:p w:rsidR="145F78C2" w:rsidP="44E4AD15" w:rsidRDefault="145F78C2" w14:paraId="2AE0829F" w14:textId="08F625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Social learning theory, articulated by Albert Bandura, posits that organisms can acquire behaviors by observing others. In this case, younger or less experienced cats may learn to associate the sound of the can with food by observing the reactions of older cats. If one cat runs to the kitchen and is rewarded with food, others may imitate this behavior, even without direct conditioning.</w:t>
      </w:r>
    </w:p>
    <w:p w:rsidR="145F78C2" w:rsidP="44E4AD15" w:rsidRDefault="145F78C2" w14:paraId="21BD24CE" w14:textId="62CB04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This imitation accelerates the learning process, as cats do not need to experience the conditioning individually. Instead, they rely on social cues from their peers. Social learning is particularly evident in group-living animals, where observational learning enhances survival by transmitting adaptive behaviors quickly. In Professor Catlove’s kitchen, social learning ensures that all cats participate in the feeding ritual, even if only some initially experienced the conditioning directly.</w:t>
      </w:r>
    </w:p>
    <w:p w:rsidR="44E4AD15" w:rsidP="44E4AD15" w:rsidRDefault="44E4AD15" w14:paraId="0C8048B7" w14:textId="7B8F33C7">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04792CF7" w14:textId="5E3CF19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Conditioned Behavior in Professor Catlove</w:t>
      </w:r>
    </w:p>
    <w:p w:rsidR="145F78C2" w:rsidP="44E4AD15" w:rsidRDefault="145F78C2" w14:paraId="05328381" w14:textId="0C7A04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While the cats’ conditioned behaviors are more obvious, Professor Catlove himself is also conditioned. The cats’ vocalizations and rubbing serve as stimuli that elicit his feeding behavior. Over time, he may have become conditioned to respond automatically to their cues, reinforcing the cycle. His morning routine—opening the can at a predictable time—may itself be a conditioned behavior shaped by the cats’ responses.</w:t>
      </w:r>
    </w:p>
    <w:p w:rsidR="145F78C2" w:rsidP="44E4AD15" w:rsidRDefault="145F78C2" w14:paraId="7DC5671F" w14:textId="532B4C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This reciprocal conditioning highlights the bidirectional nature of learning. Just as the cats are conditioned to anticipate food, Professor Catlove is conditioned to anticipate their behaviors and respond accordingly. Moreover, his assumptions about the cats’ needs—such as interpreting their meowing as hunger rather than social solicitation—shape his actions. This demonstrates how human interpretations of animal behavior are influenced by both conditioning and cultural context.</w:t>
      </w:r>
    </w:p>
    <w:p w:rsidR="44E4AD15" w:rsidP="44E4AD15" w:rsidRDefault="44E4AD15" w14:paraId="5D82BB55" w14:textId="5D71911D">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767FF0EE" w14:textId="317D06A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Critical Evaluation of Assumptions and Context</w:t>
      </w:r>
    </w:p>
    <w:p w:rsidR="145F78C2" w:rsidP="44E4AD15" w:rsidRDefault="145F78C2" w14:paraId="14D0D1E9" w14:textId="57D728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A deeper analysis requires questioning assumptions. One assumption is that the cats’ behavior is entirely learned. Yet, feline food-seeking behaviors may also be partly instinctual. Vocalizations and rubbing are natural affiliative behaviors that strengthen social bonds. Conditioning amplifies these tendencies but does not create them from scratch. Similarly, Professor Catlove’s caregiving may reflect cultural norms of pet ownership, not just conditioning.</w:t>
      </w:r>
    </w:p>
    <w:p w:rsidR="145F78C2" w:rsidP="44E4AD15" w:rsidRDefault="145F78C2" w14:paraId="26B540AF" w14:textId="563C42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Another assumption is that conditioning theories alone explain the scene. While they provide powerful insights, alternative frameworks such as ethology (study of instinctive behaviors) or attachment theory may also be relevant. For example, the cats’ rubbing may signify social bonding beyond food anticipation. By acknowledging these limits, we avoid oversimplification and recognize the complexity of human-animal interactions.</w:t>
      </w:r>
    </w:p>
    <w:p w:rsidR="44E4AD15" w:rsidP="44E4AD15" w:rsidRDefault="44E4AD15" w14:paraId="5423C80F" w14:textId="339215EA">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2A1BDA56" w14:textId="13DD623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Broader Implications</w:t>
      </w:r>
    </w:p>
    <w:p w:rsidR="145F78C2" w:rsidP="44E4AD15" w:rsidRDefault="145F78C2" w14:paraId="3B569B74" w14:textId="59B447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This vignette underscores the relevance of learning theories beyond laboratory settings. Everyday interactions between humans and animals are shaped by conditioning and social learning. Pet owners often inadvertently reinforce certain behaviors, while animals adapt through both direct conditioning and observation.</w:t>
      </w:r>
    </w:p>
    <w:p w:rsidR="145F78C2" w:rsidP="44E4AD15" w:rsidRDefault="145F78C2" w14:paraId="67830F26" w14:textId="3ADDC3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Moreover, the reciprocal conditioning between humans and animals illustrates the social dimension of learning. Just as cats learn from each other, humans learn from their pets, developing routines and emotional responses that are conditioned over time. This has broader implications for understanding human-animal bonds, training practices, and even therapeutic interventions involving animals.</w:t>
      </w:r>
    </w:p>
    <w:p w:rsidR="44E4AD15" w:rsidP="44E4AD15" w:rsidRDefault="44E4AD15" w14:paraId="4BE04C8E" w14:textId="3914E4EE">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3FB717D4" w14:textId="095EC67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Conclusion</w:t>
      </w:r>
    </w:p>
    <w:p w:rsidR="145F78C2" w:rsidP="44E4AD15" w:rsidRDefault="145F78C2" w14:paraId="13CE9DA0" w14:textId="0A1493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The morning ritual of Professor Catlove and his cats is more than a charming domestic scene; it is a microcosm of fundamental psychological principles. Classical conditioning explains the cats’ anticipation of food, operant conditioning reinforces their vocal and physical behaviors, and social learning spreads these behaviors among the group. Professor Catlove himself is conditioned by his cats’ responses, creating a reciprocal cycle of learning. By critically evaluating assumptions and contexts, we see that conditioning theories illuminate but do not exhaustively explain the complexity of human-animal interactions. This example demonstrates how conditioning and social learning permeate everyday life, shaping interactions between humans and animals in subtle yet profound ways.</w:t>
      </w:r>
    </w:p>
    <w:p w:rsidR="44E4AD15" w:rsidP="44E4AD15" w:rsidRDefault="44E4AD15" w14:paraId="6956CA26" w14:textId="578D38FD">
      <w:pPr>
        <w:rPr>
          <w:rFonts w:ascii="Aptos" w:hAnsi="Aptos" w:eastAsia="Aptos" w:cs="Aptos"/>
          <w:b w:val="0"/>
          <w:bCs w:val="0"/>
          <w:i w:val="0"/>
          <w:iCs w:val="0"/>
          <w:caps w:val="0"/>
          <w:smallCaps w:val="0"/>
          <w:noProof w:val="0"/>
          <w:color w:val="000000" w:themeColor="text1" w:themeTint="FF" w:themeShade="FF"/>
          <w:sz w:val="24"/>
          <w:szCs w:val="24"/>
          <w:lang w:val="en-US"/>
        </w:rPr>
      </w:pPr>
    </w:p>
    <w:p w:rsidR="145F78C2" w:rsidP="44E4AD15" w:rsidRDefault="145F78C2" w14:paraId="70D962DA" w14:textId="7202362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44E4AD15" w:rsidR="145F78C2">
        <w:rPr>
          <w:rFonts w:ascii="Aptos" w:hAnsi="Aptos" w:eastAsia="Aptos" w:cs="Aptos"/>
          <w:b w:val="1"/>
          <w:bCs w:val="1"/>
          <w:i w:val="0"/>
          <w:iCs w:val="0"/>
          <w:caps w:val="0"/>
          <w:smallCaps w:val="0"/>
          <w:noProof w:val="0"/>
          <w:color w:val="0F4761" w:themeColor="accent1" w:themeTint="FF" w:themeShade="BF"/>
          <w:sz w:val="28"/>
          <w:szCs w:val="28"/>
          <w:lang w:val="en-US"/>
        </w:rPr>
        <w:t>References (Peer-Reviewed Sources)</w:t>
      </w:r>
    </w:p>
    <w:p w:rsidR="145F78C2" w:rsidP="44E4AD15" w:rsidRDefault="145F78C2" w14:paraId="308B5361" w14:textId="063B3E91">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Bouton, M. E. (2007).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Learning and behavior: A contemporary synthesis</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Sinauer Associates.</w:t>
      </w:r>
    </w:p>
    <w:p w:rsidR="145F78C2" w:rsidP="44E4AD15" w:rsidRDefault="145F78C2" w14:paraId="202F8E86" w14:textId="36F7A6DA">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Domjan, M. (2018).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The principles of learning and behavior</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Cengage Learning.</w:t>
      </w:r>
    </w:p>
    <w:p w:rsidR="145F78C2" w:rsidP="44E4AD15" w:rsidRDefault="145F78C2" w14:paraId="3C9D1B44" w14:textId="6A02D61F">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Guerra, L. G. G. C., &amp; Silva, M. T. A. (2010). Learning processes and the neural analysis of conditioning.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Psychology &amp; Neuroscience, 3</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(2), 195–208. </w:t>
      </w:r>
      <w:hyperlink r:id="R3731295161604064">
        <w:r w:rsidRPr="44E4AD15" w:rsidR="145F78C2">
          <w:rPr>
            <w:rStyle w:val="Hyperlink"/>
            <w:rFonts w:ascii="Aptos" w:hAnsi="Aptos" w:eastAsia="Aptos" w:cs="Aptos"/>
            <w:b w:val="0"/>
            <w:bCs w:val="0"/>
            <w:i w:val="0"/>
            <w:iCs w:val="0"/>
            <w:caps w:val="0"/>
            <w:smallCaps w:val="0"/>
            <w:strike w:val="0"/>
            <w:dstrike w:val="0"/>
            <w:noProof w:val="0"/>
            <w:sz w:val="24"/>
            <w:szCs w:val="24"/>
            <w:lang w:val="en-US"/>
          </w:rPr>
          <w:t>https://doi.org/10.3922/j.psns.2010.2.009</w:t>
        </w:r>
      </w:hyperlink>
    </w:p>
    <w:p w:rsidR="145F78C2" w:rsidP="44E4AD15" w:rsidRDefault="145F78C2" w14:paraId="17FE774A" w14:textId="29B226FB">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Skinner, B. F. (1953).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Science and Human Behavior</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Macmillan.</w:t>
      </w:r>
    </w:p>
    <w:p w:rsidR="145F78C2" w:rsidP="44E4AD15" w:rsidRDefault="145F78C2" w14:paraId="727C61EB" w14:textId="1779FEE7">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xml:space="preserve">Bandura, A. (1977). </w:t>
      </w:r>
      <w:r w:rsidRPr="44E4AD15" w:rsidR="145F78C2">
        <w:rPr>
          <w:rFonts w:ascii="Aptos" w:hAnsi="Aptos" w:eastAsia="Aptos" w:cs="Aptos"/>
          <w:b w:val="0"/>
          <w:bCs w:val="0"/>
          <w:i w:val="1"/>
          <w:iCs w:val="1"/>
          <w:caps w:val="0"/>
          <w:smallCaps w:val="0"/>
          <w:noProof w:val="0"/>
          <w:color w:val="000000" w:themeColor="text1" w:themeTint="FF" w:themeShade="FF"/>
          <w:sz w:val="24"/>
          <w:szCs w:val="24"/>
          <w:lang w:val="en-US"/>
        </w:rPr>
        <w:t>Social learning theory</w:t>
      </w:r>
      <w:r w:rsidRPr="44E4AD15" w:rsidR="145F78C2">
        <w:rPr>
          <w:rFonts w:ascii="Aptos" w:hAnsi="Aptos" w:eastAsia="Aptos" w:cs="Aptos"/>
          <w:b w:val="0"/>
          <w:bCs w:val="0"/>
          <w:i w:val="0"/>
          <w:iCs w:val="0"/>
          <w:caps w:val="0"/>
          <w:smallCaps w:val="0"/>
          <w:noProof w:val="0"/>
          <w:color w:val="000000" w:themeColor="text1" w:themeTint="FF" w:themeShade="FF"/>
          <w:sz w:val="24"/>
          <w:szCs w:val="24"/>
          <w:lang w:val="en-US"/>
        </w:rPr>
        <w:t>. Prentice Hall.</w:t>
      </w:r>
    </w:p>
    <w:p w:rsidR="44E4AD15" w:rsidP="44E4AD15" w:rsidRDefault="44E4AD15" w14:paraId="7B9D443D" w14:textId="6C829B5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0b9318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38BE03"/>
    <w:rsid w:val="145F78C2"/>
    <w:rsid w:val="2D38BE03"/>
    <w:rsid w:val="44E4A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BE03"/>
  <w15:chartTrackingRefBased/>
  <w15:docId w15:val="{7EEDA7C8-FC32-4638-BFE9-DFC567B04F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4E4AD1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4E4AD15"/>
    <w:pPr>
      <w:spacing/>
      <w:ind w:left="720"/>
      <w:contextualSpacing/>
    </w:pPr>
  </w:style>
  <w:style w:type="character" w:styleId="Hyperlink">
    <w:uiPriority w:val="99"/>
    <w:name w:val="Hyperlink"/>
    <w:basedOn w:val="DefaultParagraphFont"/>
    <w:unhideWhenUsed/>
    <w:rsid w:val="44E4AD1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3922/j.psns.2010.2.009" TargetMode="External" Id="R3731295161604064" /><Relationship Type="http://schemas.openxmlformats.org/officeDocument/2006/relationships/numbering" Target="numbering.xml" Id="Rf4189ddcff564e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2025-11-23T17:48:05.0573285Z</dcterms:created>
  <dcterms:modified xsi:type="dcterms:W3CDTF">2025-11-23T17:49:31.3487244Z</dcterms:modified>
  <dc:creator>HuuThanhVy Nguyen</dc:creator>
  <lastModifiedBy>HuuThanhVy Nguyen</lastModifiedBy>
</coreProperties>
</file>