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54C5DD1F" wp14:textId="5AFDA55C">
      <w:r w:rsidR="49410150">
        <w:rPr/>
        <w:t>The Morning Symphony: A Critical Behavioral Analysis of Human-Feline Interaction</w:t>
      </w:r>
    </w:p>
    <w:p xmlns:wp14="http://schemas.microsoft.com/office/word/2010/wordml" w:rsidP="2E0792E0" wp14:paraId="2ADA93A9" wp14:textId="1B6FCD93">
      <w:pPr>
        <w:pStyle w:val="Normal"/>
      </w:pPr>
      <w:r w:rsidR="49410150">
        <w:rPr/>
        <w:t xml:space="preserve"> </w:t>
      </w:r>
    </w:p>
    <w:p xmlns:wp14="http://schemas.microsoft.com/office/word/2010/wordml" w:rsidP="2E0792E0" wp14:paraId="66C8172C" wp14:textId="3550F74F">
      <w:pPr>
        <w:pStyle w:val="Normal"/>
      </w:pPr>
      <w:r w:rsidR="49410150">
        <w:rPr/>
        <w:t>Introduction</w:t>
      </w:r>
    </w:p>
    <w:p xmlns:wp14="http://schemas.microsoft.com/office/word/2010/wordml" w:rsidP="2E0792E0" wp14:paraId="2DEFE63E" wp14:textId="088C4031">
      <w:pPr>
        <w:pStyle w:val="Normal"/>
      </w:pPr>
      <w:r w:rsidR="49410150">
        <w:rPr/>
        <w:t xml:space="preserve"> </w:t>
      </w:r>
    </w:p>
    <w:p xmlns:wp14="http://schemas.microsoft.com/office/word/2010/wordml" w:rsidP="2E0792E0" wp14:paraId="337C4C08" wp14:textId="796C953F">
      <w:pPr>
        <w:pStyle w:val="Normal"/>
      </w:pPr>
      <w:r w:rsidR="49410150">
        <w:rPr/>
        <w:t>The domestic cat (Felis catus) has lived alongside humans for thousands of years, evolving a complex repertoire of behaviors that facilitate coexistence. While often anthropomorphized as "cupboard love," the interactions between cats and their owners during feeding times provide a textbook environment for observing fundamental learning principles. Consider the scenario of Professor Catlove: each morning, the sound of a can opener triggers a cascade of activity where his cats run to the kitchen, vocalize, and rub against his legs. By dissecting this scene, we can identify robust examples of classical conditioning, operant conditioning, and social learning. However, to truly understand this dynamic, we must also critically evaluate the limitations of these traditional behaviorist models, questioning whether they fully capture the cognitive and emotional complexity of the human-animal bond.</w:t>
      </w:r>
    </w:p>
    <w:p xmlns:wp14="http://schemas.microsoft.com/office/word/2010/wordml" w:rsidP="2E0792E0" wp14:paraId="1F993093" wp14:textId="6FCC25EE">
      <w:pPr>
        <w:pStyle w:val="Normal"/>
      </w:pPr>
      <w:r w:rsidR="49410150">
        <w:rPr/>
        <w:t xml:space="preserve"> </w:t>
      </w:r>
    </w:p>
    <w:p xmlns:wp14="http://schemas.microsoft.com/office/word/2010/wordml" w:rsidP="2E0792E0" wp14:paraId="476D183C" wp14:textId="01F4DC84">
      <w:pPr>
        <w:pStyle w:val="Normal"/>
      </w:pPr>
      <w:r w:rsidR="49410150">
        <w:rPr/>
        <w:t>Classical Conditioning: The Anticipatory Response</w:t>
      </w:r>
    </w:p>
    <w:p xmlns:wp14="http://schemas.microsoft.com/office/word/2010/wordml" w:rsidP="2E0792E0" wp14:paraId="484FD16E" wp14:textId="12E378D4">
      <w:pPr>
        <w:pStyle w:val="Normal"/>
      </w:pPr>
      <w:r w:rsidR="49410150">
        <w:rPr/>
        <w:t xml:space="preserve"> </w:t>
      </w:r>
    </w:p>
    <w:p xmlns:wp14="http://schemas.microsoft.com/office/word/2010/wordml" w:rsidP="2E0792E0" wp14:paraId="072BAB28" wp14:textId="400C0875">
      <w:pPr>
        <w:pStyle w:val="Normal"/>
      </w:pPr>
      <w:r w:rsidR="49410150">
        <w:rPr/>
        <w:t>The most immediate aspect of this scene serves as a paradigm of classical conditioning, a process first described by Ivan Pavlov. In this framework, a neutral stimulus becomes associated with a biologically potent stimulus to elicit a reflex-like response.</w:t>
      </w:r>
    </w:p>
    <w:p xmlns:wp14="http://schemas.microsoft.com/office/word/2010/wordml" w:rsidP="2E0792E0" wp14:paraId="43A566D9" wp14:textId="5C76D071">
      <w:pPr>
        <w:pStyle w:val="Normal"/>
      </w:pPr>
      <w:r w:rsidR="49410150">
        <w:rPr/>
        <w:t xml:space="preserve"> </w:t>
      </w:r>
    </w:p>
    <w:p xmlns:wp14="http://schemas.microsoft.com/office/word/2010/wordml" w:rsidP="2E0792E0" wp14:paraId="6F2168D4" wp14:textId="003412F4">
      <w:pPr>
        <w:pStyle w:val="Normal"/>
      </w:pPr>
      <w:r w:rsidR="49410150">
        <w:rPr/>
        <w:t>For the cats, the wet food is the unconditioned stimulus (US), naturally triggering the unconditioned response (UR) of physiological excitement and approach. Initially, the sound of the can opener was a neutral stimulus (NS). However, through repeated pairing with food, it has transformed into a conditioned stimulus (CS), eliciting the conditioned response (CR) of running to the kitchen.</w:t>
      </w:r>
    </w:p>
    <w:p xmlns:wp14="http://schemas.microsoft.com/office/word/2010/wordml" w:rsidP="2E0792E0" wp14:paraId="478156A8" wp14:textId="35ACA89D">
      <w:pPr>
        <w:pStyle w:val="Normal"/>
      </w:pPr>
      <w:r w:rsidR="49410150">
        <w:rPr/>
        <w:t xml:space="preserve"> </w:t>
      </w:r>
    </w:p>
    <w:p xmlns:wp14="http://schemas.microsoft.com/office/word/2010/wordml" w:rsidP="2E0792E0" wp14:paraId="21775C06" wp14:textId="16B19B7E">
      <w:pPr>
        <w:pStyle w:val="Normal"/>
      </w:pPr>
      <w:r w:rsidR="49410150">
        <w:rPr/>
        <w:t>While Pavlovian theory explains the mechanism of this association, it is critical to question Pavlov’s original interpretation of this as a purely physiological "reflex" devoid of mind. Modern cognitive ethology suggests that the cats are not merely reacting mechanically; they are likely utilizing predictive processing. The sound does not just trigger a reflex; it accesses a memory representation of the food, implying a level of cognitive anticipation that early behaviorists often denied (Vitale Shreve &amp; Udell, 2015).</w:t>
      </w:r>
    </w:p>
    <w:p xmlns:wp14="http://schemas.microsoft.com/office/word/2010/wordml" w:rsidP="2E0792E0" wp14:paraId="1C06A44D" wp14:textId="7B8102C6">
      <w:pPr>
        <w:pStyle w:val="Normal"/>
      </w:pPr>
      <w:r w:rsidR="49410150">
        <w:rPr/>
        <w:t xml:space="preserve"> </w:t>
      </w:r>
    </w:p>
    <w:p xmlns:wp14="http://schemas.microsoft.com/office/word/2010/wordml" w:rsidP="2E0792E0" wp14:paraId="6C5C5BF1" wp14:textId="404546AC">
      <w:pPr>
        <w:pStyle w:val="Normal"/>
      </w:pPr>
      <w:r w:rsidR="49410150">
        <w:rPr/>
        <w:t>Operant Conditioning: The Cats’ Voluntary Strategies</w:t>
      </w:r>
    </w:p>
    <w:p xmlns:wp14="http://schemas.microsoft.com/office/word/2010/wordml" w:rsidP="2E0792E0" wp14:paraId="21864AF3" wp14:textId="07DD2485">
      <w:pPr>
        <w:pStyle w:val="Normal"/>
      </w:pPr>
      <w:r w:rsidR="49410150">
        <w:rPr/>
        <w:t xml:space="preserve"> </w:t>
      </w:r>
    </w:p>
    <w:p xmlns:wp14="http://schemas.microsoft.com/office/word/2010/wordml" w:rsidP="2E0792E0" wp14:paraId="19195DD5" wp14:textId="2D5E8960">
      <w:pPr>
        <w:pStyle w:val="Normal"/>
      </w:pPr>
      <w:r w:rsidR="49410150">
        <w:rPr/>
        <w:t>While the rush to the kitchen may be reflexive, the subsequent meowing and rubbing are voluntary actions governed by B.F. Skinner’s operant conditioning—behavior shaped by consequences.</w:t>
      </w:r>
    </w:p>
    <w:p xmlns:wp14="http://schemas.microsoft.com/office/word/2010/wordml" w:rsidP="2E0792E0" wp14:paraId="5AC9184C" wp14:textId="50DBC882">
      <w:pPr>
        <w:pStyle w:val="Normal"/>
      </w:pPr>
      <w:r w:rsidR="49410150">
        <w:rPr/>
        <w:t xml:space="preserve"> </w:t>
      </w:r>
    </w:p>
    <w:p xmlns:wp14="http://schemas.microsoft.com/office/word/2010/wordml" w:rsidP="2E0792E0" wp14:paraId="1710B6DF" wp14:textId="46D7BF09">
      <w:pPr>
        <w:pStyle w:val="Normal"/>
      </w:pPr>
      <w:r w:rsidR="49410150">
        <w:rPr/>
        <w:t>The cats engage in behaviors that have been positively reinforced. When they vocalize and weave between legs, the consequence is the delivery of food (a primary reinforcer). The cats have learned the contingency: "Affectionate/vocal behavior yields resources." This behavior is likely maintained by a variable ratio schedule—the Professor does not feed them at the exact same second every time—which Skinner noted produces persistent behavior highly resistant to extinction (Skinner, 1938).</w:t>
      </w:r>
    </w:p>
    <w:p xmlns:wp14="http://schemas.microsoft.com/office/word/2010/wordml" w:rsidP="2E0792E0" wp14:paraId="59D254F1" wp14:textId="3C0ED98C">
      <w:pPr>
        <w:pStyle w:val="Normal"/>
      </w:pPr>
      <w:r w:rsidR="49410150">
        <w:rPr/>
        <w:t xml:space="preserve"> </w:t>
      </w:r>
    </w:p>
    <w:p xmlns:wp14="http://schemas.microsoft.com/office/word/2010/wordml" w:rsidP="2E0792E0" wp14:paraId="05DDCCD5" wp14:textId="1D2470DE">
      <w:pPr>
        <w:pStyle w:val="Normal"/>
      </w:pPr>
      <w:r w:rsidR="49410150">
        <w:rPr/>
        <w:t>However, viewing this interaction solely as "operant manipulation" is reductionist. The rubbing behavior (allorubbing) is ethologically significant as a social bonding mechanism in feline colonies. By interpreting this solely as a "strategy for food," strict behaviorism risks ignoring the possibility that the social interaction itself is reinforcing to the cat, independent of the food reward.</w:t>
      </w:r>
    </w:p>
    <w:p xmlns:wp14="http://schemas.microsoft.com/office/word/2010/wordml" w:rsidP="2E0792E0" wp14:paraId="0F0F54EE" wp14:textId="5B9658C2">
      <w:pPr>
        <w:pStyle w:val="Normal"/>
      </w:pPr>
      <w:r w:rsidR="49410150">
        <w:rPr/>
        <w:t xml:space="preserve"> </w:t>
      </w:r>
    </w:p>
    <w:p xmlns:wp14="http://schemas.microsoft.com/office/word/2010/wordml" w:rsidP="2E0792E0" wp14:paraId="5FD772CD" wp14:textId="5E12BFF0">
      <w:pPr>
        <w:pStyle w:val="Normal"/>
      </w:pPr>
      <w:r w:rsidR="49410150">
        <w:rPr/>
        <w:t>The Professor as the Subject: Reciprocal Determinism</w:t>
      </w:r>
    </w:p>
    <w:p xmlns:wp14="http://schemas.microsoft.com/office/word/2010/wordml" w:rsidP="2E0792E0" wp14:paraId="2D79916E" wp14:textId="4E198964">
      <w:pPr>
        <w:pStyle w:val="Normal"/>
      </w:pPr>
      <w:r w:rsidR="49410150">
        <w:rPr/>
        <w:t xml:space="preserve"> </w:t>
      </w:r>
    </w:p>
    <w:p xmlns:wp14="http://schemas.microsoft.com/office/word/2010/wordml" w:rsidP="2E0792E0" wp14:paraId="7E4C65D3" wp14:textId="0292A654">
      <w:pPr>
        <w:pStyle w:val="Normal"/>
      </w:pPr>
      <w:r w:rsidR="49410150">
        <w:rPr/>
        <w:t>The scenario implies a dyadic training process. Professor Catlove is not merely the "operator"; he is also a subject. His behavior (feeding the cats quickly) is maintained by two mechanisms:</w:t>
      </w:r>
    </w:p>
    <w:p xmlns:wp14="http://schemas.microsoft.com/office/word/2010/wordml" w:rsidP="2E0792E0" wp14:paraId="4CE714AB" wp14:textId="2BB09044">
      <w:pPr>
        <w:pStyle w:val="Normal"/>
      </w:pPr>
      <w:r w:rsidR="49410150">
        <w:rPr/>
        <w:t xml:space="preserve"> </w:t>
      </w:r>
    </w:p>
    <w:p xmlns:wp14="http://schemas.microsoft.com/office/word/2010/wordml" w:rsidP="2E0792E0" wp14:paraId="2B58CEEA" wp14:textId="4EF08A07">
      <w:pPr>
        <w:pStyle w:val="Normal"/>
      </w:pPr>
      <w:r w:rsidR="49410150">
        <w:rPr/>
        <w:t>Negative Reinforcement: Feeding the cats removes the aversive stimulus of loud meowing.</w:t>
      </w:r>
    </w:p>
    <w:p xmlns:wp14="http://schemas.microsoft.com/office/word/2010/wordml" w:rsidP="2E0792E0" wp14:paraId="7B32BFB4" wp14:textId="53B97D6A">
      <w:pPr>
        <w:pStyle w:val="Normal"/>
      </w:pPr>
      <w:r w:rsidR="49410150">
        <w:rPr/>
        <w:t xml:space="preserve"> </w:t>
      </w:r>
    </w:p>
    <w:p xmlns:wp14="http://schemas.microsoft.com/office/word/2010/wordml" w:rsidP="2E0792E0" wp14:paraId="35AD6840" wp14:textId="0B87A047">
      <w:pPr>
        <w:pStyle w:val="Normal"/>
      </w:pPr>
      <w:r w:rsidR="49410150">
        <w:rPr/>
        <w:t>Positive Reinforcement: If the Professor derives pleasure from the cats' affection, the "rubbing" acts as a reward for his labor.</w:t>
      </w:r>
    </w:p>
    <w:p xmlns:wp14="http://schemas.microsoft.com/office/word/2010/wordml" w:rsidP="2E0792E0" wp14:paraId="48D1E7FA" wp14:textId="35A570EE">
      <w:pPr>
        <w:pStyle w:val="Normal"/>
      </w:pPr>
      <w:r w:rsidR="49410150">
        <w:rPr/>
        <w:t xml:space="preserve"> </w:t>
      </w:r>
    </w:p>
    <w:p xmlns:wp14="http://schemas.microsoft.com/office/word/2010/wordml" w:rsidP="2E0792E0" wp14:paraId="2234692A" wp14:textId="685BD4E3">
      <w:pPr>
        <w:pStyle w:val="Normal"/>
      </w:pPr>
      <w:r w:rsidR="49410150">
        <w:rPr/>
        <w:t>This highlights a flaw in the traditional "experimenter-subject" dichotomy often found in early psychological literature. In the domestic "wild," the roles are fluid. The Professor and his cats are locked in a feedback loop of mutual shaping, a concept that moves beyond linear conditioning into the realm of systems theory.</w:t>
      </w:r>
    </w:p>
    <w:p xmlns:wp14="http://schemas.microsoft.com/office/word/2010/wordml" w:rsidP="2E0792E0" wp14:paraId="2D31775D" wp14:textId="21380F0C">
      <w:pPr>
        <w:pStyle w:val="Normal"/>
      </w:pPr>
      <w:r w:rsidR="49410150">
        <w:rPr/>
        <w:t xml:space="preserve"> </w:t>
      </w:r>
    </w:p>
    <w:p xmlns:wp14="http://schemas.microsoft.com/office/word/2010/wordml" w:rsidP="2E0792E0" wp14:paraId="28AC3F9D" wp14:textId="4A2C8F4F">
      <w:pPr>
        <w:pStyle w:val="Normal"/>
      </w:pPr>
      <w:r w:rsidR="49410150">
        <w:rPr/>
        <w:t>Social Learning: The Feline Echo Chamber</w:t>
      </w:r>
    </w:p>
    <w:p xmlns:wp14="http://schemas.microsoft.com/office/word/2010/wordml" w:rsidP="2E0792E0" wp14:paraId="718A7615" wp14:textId="7971699C">
      <w:pPr>
        <w:pStyle w:val="Normal"/>
      </w:pPr>
      <w:r w:rsidR="49410150">
        <w:rPr/>
        <w:t xml:space="preserve"> </w:t>
      </w:r>
    </w:p>
    <w:p xmlns:wp14="http://schemas.microsoft.com/office/word/2010/wordml" w:rsidP="2E0792E0" wp14:paraId="296E6158" wp14:textId="2FC6A047">
      <w:pPr>
        <w:pStyle w:val="Normal"/>
      </w:pPr>
      <w:r w:rsidR="49410150">
        <w:rPr/>
        <w:t>If multiple cats are present, Albert Bandura’s social learning theory becomes relevant. A younger cat may not initially associate the opener with food but will mimic the excitement of veteran cats (local enhancement) or learn the vocalization behaviors through observation (social facilitation).</w:t>
      </w:r>
    </w:p>
    <w:p xmlns:wp14="http://schemas.microsoft.com/office/word/2010/wordml" w:rsidP="2E0792E0" wp14:paraId="0E344AD6" wp14:textId="1BC34A34">
      <w:pPr>
        <w:pStyle w:val="Normal"/>
      </w:pPr>
      <w:r w:rsidR="49410150">
        <w:rPr/>
        <w:t xml:space="preserve"> </w:t>
      </w:r>
    </w:p>
    <w:p xmlns:wp14="http://schemas.microsoft.com/office/word/2010/wordml" w:rsidP="2E0792E0" wp14:paraId="082FEDF6" wp14:textId="71307BF8">
      <w:pPr>
        <w:pStyle w:val="Normal"/>
      </w:pPr>
      <w:r w:rsidR="49410150">
        <w:rPr/>
        <w:t>Critically, however, research by Herbert and Harsh (1944) suggested that while cats can learn through observation, they are less proficient at it than primates or dogs in certain tasks. This discrepancy forces us to question whether the "group run" to the kitchen is true observational learning (understanding the cause of the other cats' running) or simply "social contagion," where high arousal in one animal triggers high arousal in another without cognitive transfer. Distinguishing between these requires a more nuanced view than standard social learning theory provides.</w:t>
      </w:r>
    </w:p>
    <w:p xmlns:wp14="http://schemas.microsoft.com/office/word/2010/wordml" w:rsidP="2E0792E0" wp14:paraId="2E081993" wp14:textId="5E380151">
      <w:pPr>
        <w:pStyle w:val="Normal"/>
      </w:pPr>
      <w:r w:rsidR="49410150">
        <w:rPr/>
        <w:t xml:space="preserve"> </w:t>
      </w:r>
    </w:p>
    <w:p xmlns:wp14="http://schemas.microsoft.com/office/word/2010/wordml" w:rsidP="2E0792E0" wp14:paraId="37B3EFA2" wp14:textId="3A545865">
      <w:pPr>
        <w:pStyle w:val="Normal"/>
      </w:pPr>
      <w:r w:rsidR="49410150">
        <w:rPr/>
        <w:t>Beyond the Black Box: A Critical Evaluation of Behaviorism</w:t>
      </w:r>
    </w:p>
    <w:p xmlns:wp14="http://schemas.microsoft.com/office/word/2010/wordml" w:rsidP="2E0792E0" wp14:paraId="465F56AB" wp14:textId="57FD3455">
      <w:pPr>
        <w:pStyle w:val="Normal"/>
      </w:pPr>
      <w:r w:rsidR="49410150">
        <w:rPr/>
        <w:t xml:space="preserve"> </w:t>
      </w:r>
    </w:p>
    <w:p xmlns:wp14="http://schemas.microsoft.com/office/word/2010/wordml" w:rsidP="2E0792E0" wp14:paraId="34CEEEF4" wp14:textId="1CA8700B">
      <w:pPr>
        <w:pStyle w:val="Normal"/>
      </w:pPr>
      <w:r w:rsidR="49410150">
        <w:rPr/>
        <w:t>To achieve a comprehensive understanding, we must challenge the sufficiency of these theories. Pavlov and Skinner operated under a "black box" approach, largely ignoring internal mental states to focus on observable behavior. Applying this rigidly to Professor Catlove’s kitchen has limitations:</w:t>
      </w:r>
    </w:p>
    <w:p xmlns:wp14="http://schemas.microsoft.com/office/word/2010/wordml" w:rsidP="2E0792E0" wp14:paraId="3D25BFBC" wp14:textId="223F6E3F">
      <w:pPr>
        <w:pStyle w:val="Normal"/>
      </w:pPr>
      <w:r w:rsidR="49410150">
        <w:rPr/>
        <w:t xml:space="preserve"> </w:t>
      </w:r>
    </w:p>
    <w:p xmlns:wp14="http://schemas.microsoft.com/office/word/2010/wordml" w:rsidP="2E0792E0" wp14:paraId="018398B7" wp14:textId="20A9A3A8">
      <w:pPr>
        <w:pStyle w:val="Normal"/>
      </w:pPr>
      <w:r w:rsidR="49410150">
        <w:rPr/>
        <w:t>Emotional Complexity: Jaak Panksepp’s work in affective neuroscience argues that animals have distinct emotional systems (e.g., SEEKING, PLAY, CARE). The behaviorist model explains how the cats learn to get food, but it fails to explain the affective bond that might drive the rubbing behavior even when food is not present.</w:t>
      </w:r>
    </w:p>
    <w:p xmlns:wp14="http://schemas.microsoft.com/office/word/2010/wordml" w:rsidP="2E0792E0" wp14:paraId="3EB0F13D" wp14:textId="724EDFF9">
      <w:pPr>
        <w:pStyle w:val="Normal"/>
      </w:pPr>
      <w:r w:rsidR="49410150">
        <w:rPr/>
        <w:t xml:space="preserve"> </w:t>
      </w:r>
    </w:p>
    <w:p xmlns:wp14="http://schemas.microsoft.com/office/word/2010/wordml" w:rsidP="2E0792E0" wp14:paraId="19556D12" wp14:textId="2994E270">
      <w:pPr>
        <w:pStyle w:val="Normal"/>
      </w:pPr>
      <w:r w:rsidR="49410150">
        <w:rPr/>
        <w:t>Ecological Validity: Skinner’s laws were derived from isolated boxes to eliminate variables. In the kitchen, the environment is rich with confounding variables—the Professor’s mood, the time of day, and the history of the relationship. A strict operant model might predict that if the Professor stopped feeding the cats after they meowed, the behavior would extinguish. However, in a bonded relationship, cats often persist in interaction due to attachment security, not just caloric reinforcement (Rault et al., 2020).</w:t>
      </w:r>
    </w:p>
    <w:p xmlns:wp14="http://schemas.microsoft.com/office/word/2010/wordml" w:rsidP="2E0792E0" wp14:paraId="5187A740" wp14:textId="1A51D744">
      <w:pPr>
        <w:pStyle w:val="Normal"/>
      </w:pPr>
      <w:r w:rsidR="49410150">
        <w:rPr/>
        <w:t xml:space="preserve"> </w:t>
      </w:r>
    </w:p>
    <w:p xmlns:wp14="http://schemas.microsoft.com/office/word/2010/wordml" w:rsidP="2E0792E0" wp14:paraId="43FB8397" wp14:textId="149485B0">
      <w:pPr>
        <w:pStyle w:val="Normal"/>
      </w:pPr>
      <w:r w:rsidR="49410150">
        <w:rPr/>
        <w:t>Conclusion</w:t>
      </w:r>
    </w:p>
    <w:p xmlns:wp14="http://schemas.microsoft.com/office/word/2010/wordml" w:rsidP="2E0792E0" wp14:paraId="1DECD3D6" wp14:textId="13EA6BB0">
      <w:pPr>
        <w:pStyle w:val="Normal"/>
      </w:pPr>
      <w:r w:rsidR="49410150">
        <w:rPr/>
        <w:t xml:space="preserve"> </w:t>
      </w:r>
    </w:p>
    <w:p xmlns:wp14="http://schemas.microsoft.com/office/word/2010/wordml" w:rsidP="2E0792E0" wp14:paraId="2B89CD01" wp14:textId="2246C229">
      <w:pPr>
        <w:pStyle w:val="Normal"/>
      </w:pPr>
      <w:r w:rsidR="49410150">
        <w:rPr/>
        <w:t>Professor Catlove’s morning routine is a rich tapestry of learning: the can opener triggers Pavlovian anticipation, while the exchange of food for affection follows Skinnerian laws of reinforcement. Yet, to view this scene only through these lenses is to accept a mechanistic view of life that ignores the cognitive and emotional depth of the participants. While conditioning explains the mechanics of the ritual, the persistence and intensity of the interaction likely stem from a deeper, ethological bond that transcends simple stimulus-response pairings.</w:t>
      </w:r>
    </w:p>
    <w:p xmlns:wp14="http://schemas.microsoft.com/office/word/2010/wordml" w:rsidP="2E0792E0" wp14:paraId="22133A38" wp14:textId="7779104A">
      <w:pPr>
        <w:pStyle w:val="Normal"/>
      </w:pPr>
      <w:r w:rsidR="49410150">
        <w:rPr/>
        <w:t xml:space="preserve"> </w:t>
      </w:r>
    </w:p>
    <w:p xmlns:wp14="http://schemas.microsoft.com/office/word/2010/wordml" w:rsidP="2E0792E0" wp14:paraId="31B017F5" wp14:textId="7C7D6E4E">
      <w:pPr>
        <w:pStyle w:val="Normal"/>
      </w:pPr>
      <w:r w:rsidR="49410150">
        <w:rPr/>
        <w:t>References</w:t>
      </w:r>
    </w:p>
    <w:p xmlns:wp14="http://schemas.microsoft.com/office/word/2010/wordml" w:rsidP="2E0792E0" wp14:paraId="5C80EA33" wp14:textId="2D43A497">
      <w:pPr>
        <w:pStyle w:val="Normal"/>
      </w:pPr>
      <w:r w:rsidR="49410150">
        <w:rPr/>
        <w:t xml:space="preserve"> </w:t>
      </w:r>
    </w:p>
    <w:p xmlns:wp14="http://schemas.microsoft.com/office/word/2010/wordml" w:rsidP="2E0792E0" wp14:paraId="03D5EAED" wp14:textId="04E98353">
      <w:pPr>
        <w:pStyle w:val="Normal"/>
      </w:pPr>
      <w:r w:rsidR="49410150">
        <w:rPr/>
        <w:t>Herbert, M. J., &amp; Harsh, C. M. (1944). Observational learning by cats. Journal of Comparative Psychology, 37(2), 81–95.</w:t>
      </w:r>
    </w:p>
    <w:p xmlns:wp14="http://schemas.microsoft.com/office/word/2010/wordml" w:rsidP="2E0792E0" wp14:paraId="2129BE52" wp14:textId="502DD7B1">
      <w:pPr>
        <w:pStyle w:val="Normal"/>
      </w:pPr>
      <w:r w:rsidR="49410150">
        <w:rPr/>
        <w:t xml:space="preserve"> </w:t>
      </w:r>
    </w:p>
    <w:p xmlns:wp14="http://schemas.microsoft.com/office/word/2010/wordml" w:rsidP="2E0792E0" wp14:paraId="54D017CB" wp14:textId="4F9E7557">
      <w:pPr>
        <w:pStyle w:val="Normal"/>
      </w:pPr>
      <w:r w:rsidR="49410150">
        <w:rPr/>
        <w:t>Panksepp, J. (2011). The basic emotional circuits of mammalian brains: Do animals have affective lives? Neuroscience &amp; Biobehavioral Reviews, 35(9), 1791–1804.</w:t>
      </w:r>
    </w:p>
    <w:p xmlns:wp14="http://schemas.microsoft.com/office/word/2010/wordml" w:rsidP="2E0792E0" wp14:paraId="7FBE8B9D" wp14:textId="35E742D6">
      <w:pPr>
        <w:pStyle w:val="Normal"/>
      </w:pPr>
      <w:r w:rsidR="49410150">
        <w:rPr/>
        <w:t xml:space="preserve"> </w:t>
      </w:r>
    </w:p>
    <w:p xmlns:wp14="http://schemas.microsoft.com/office/word/2010/wordml" w:rsidP="2E0792E0" wp14:paraId="6274529D" wp14:textId="0EF26FA5">
      <w:pPr>
        <w:pStyle w:val="Normal"/>
      </w:pPr>
      <w:r w:rsidR="49410150">
        <w:rPr/>
        <w:t>Pavlov, I. P. (1927). Conditioned Reflexes: An Investigation of the Physiological Activity of the Cerebral Cortex. Oxford University Press.</w:t>
      </w:r>
    </w:p>
    <w:p xmlns:wp14="http://schemas.microsoft.com/office/word/2010/wordml" w:rsidP="2E0792E0" wp14:paraId="15747577" wp14:textId="37E6A14D">
      <w:pPr>
        <w:pStyle w:val="Normal"/>
      </w:pPr>
      <w:r w:rsidR="49410150">
        <w:rPr/>
        <w:t xml:space="preserve"> </w:t>
      </w:r>
    </w:p>
    <w:p xmlns:wp14="http://schemas.microsoft.com/office/word/2010/wordml" w:rsidP="2E0792E0" wp14:paraId="75722691" wp14:textId="6614A499">
      <w:pPr>
        <w:pStyle w:val="Normal"/>
      </w:pPr>
      <w:r w:rsidR="49410150">
        <w:rPr/>
        <w:t>Rault, J. L., Waiblinger, S., Boivin, X., &amp; Hemsworth, P. (2020). The Power of a Positive Human–Animal Relationship for Animal Welfare. Frontiers in Veterinary Science, 7, 590867.</w:t>
      </w:r>
    </w:p>
    <w:p xmlns:wp14="http://schemas.microsoft.com/office/word/2010/wordml" w:rsidP="2E0792E0" wp14:paraId="4DFFDC87" wp14:textId="3896383A">
      <w:pPr>
        <w:pStyle w:val="Normal"/>
      </w:pPr>
      <w:r w:rsidR="49410150">
        <w:rPr/>
        <w:t xml:space="preserve"> </w:t>
      </w:r>
    </w:p>
    <w:p xmlns:wp14="http://schemas.microsoft.com/office/word/2010/wordml" w:rsidP="2E0792E0" wp14:paraId="4389B043" wp14:textId="617A36C6">
      <w:pPr>
        <w:pStyle w:val="Normal"/>
      </w:pPr>
      <w:r w:rsidR="49410150">
        <w:rPr/>
        <w:t>Skinner, B. F. (1938). The Behavior of Organisms: An Experimental Analysis. Appleton-Century.</w:t>
      </w:r>
    </w:p>
    <w:p xmlns:wp14="http://schemas.microsoft.com/office/word/2010/wordml" w:rsidP="2E0792E0" wp14:paraId="6FC0F5B3" wp14:textId="6085164F">
      <w:pPr>
        <w:pStyle w:val="Normal"/>
      </w:pPr>
      <w:r w:rsidR="49410150">
        <w:rPr/>
        <w:t xml:space="preserve"> </w:t>
      </w:r>
    </w:p>
    <w:p xmlns:wp14="http://schemas.microsoft.com/office/word/2010/wordml" w:rsidP="2E0792E0" wp14:paraId="2C078E63" wp14:textId="2CF4A067">
      <w:pPr>
        <w:pStyle w:val="Normal"/>
      </w:pPr>
      <w:r w:rsidR="49410150">
        <w:rPr/>
        <w:t>Vitale Shreve, K. R., &amp; Udell, M. A. R. (2015). What’s inside your cat’s head? A review of cat cognitive abilities. Behavioural Processes, 119, 60–76.</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CA25C40"/>
    <w:rsid w:val="2CA25C40"/>
    <w:rsid w:val="2E0792E0"/>
    <w:rsid w:val="494101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25C40"/>
  <w15:chartTrackingRefBased/>
  <w15:docId w15:val="{46DFD33B-F4C3-4B1C-AB78-6AA06ED81B9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2025-11-23T17:59:34.0657573Z</dcterms:created>
  <dcterms:modified xsi:type="dcterms:W3CDTF">2025-11-23T18:00:14.4952128Z</dcterms:modified>
  <dc:creator>HuuThanhVy Nguyen</dc:creator>
  <lastModifiedBy>HuuThanhVy Nguyen</lastModifiedBy>
</coreProperties>
</file>