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hiss becomes a conditioned stimulus predicting food, eliciting cats’ approach and vocalization (classical conditioning). Their rubbing and meowing are operants reinforced by Professor Catlove’s feeding and attention. Catlove may be conditioned to open cans at purring cues. Younger cats can also learn by observing others’ rushing (social learning).</w:t>
        <w:br/>
        <w:t>References (peer-reviewed):</w:t>
        <w:br/>
        <w:t>Pavlov, I. P. (1927). Conditioned Reflexes. Oxford University Press.</w:t>
        <w:br/>
        <w:t>Skinner, B. F. (1938). The Behavior of Organisms: An Experimental Analysis. Appleton-Century.</w:t>
        <w:br/>
        <w:t>Bandura, A. (1977). Social learning theory. General Learning Press.</w:t>
        <w:br/>
        <w:t>Zentall, T. R. (2012). Perspectives on observational learning in animals. Journal of Comparative Psychology, 126(2), 114–128.</w:t>
        <w:br/>
        <w:t>Turner, D. C., &amp; Bateson, P. (Eds.). (2014). The Domestic Cat: The Biology of its Behaviour (3rd ed.).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