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Essay Grading Using VALUE Critical Thinking Rubric</w:t>
        <w:br/>
        <w:t>Overall Assessment: This submission is a very brief paragraph applying learning theories to a presumed scenario involving "Professor Catlove" and cats' behaviors around food cans. It meets the benchmark (1) minimum in most areas by stating ideas and citing sources but lacks depth, comprehensive description, analysis of assumptions/contexts, synthesis of complexities, or nuanced conclusions. No category warrants a zero, as benchmark performance is achieved. Average score: 1.6/4. Strengths: Relevant citations with basic application. Weaknesses: Minimal elaboration, no exploration of ambiguities/assumptions, simplistic position without synthesis.</w:t>
        <w:br/>
        <w:t>| Category | Score | Justification |</w:t>
        <w:br/>
        <w:t>|----------|--------|--------------|</w:t>
        <w:br/>
        <w:t>| Explanation of issues | 2 (Milestone) | Issue (cats' learned behaviors around food/cans via conditioning) is stated, but description is superficial—leaves key terms (e.g., "conditioned stimulus," "operants") undefined, scenario background assumed, and boundaries (e.g., specific cat behaviors) unexplored. Understanding is somewhat impeded by brevity/omissions. |</w:t>
        <w:br/>
        <w:t>| Evidence | 2 (Milestone) | Information drawn from peer-reviewed sources (Pavlov, Skinner, Bandura, etc.) with some interpretation (e.g., applying classical/operant conditioning and social learning to scenario). However, not enough to form a coherent analysis/synthesis; expert viewpoints (e.g., Pavlov/Skinner) taken as fact with little questioning or evaluation. |</w:t>
        <w:br/>
        <w:t>| Influence of context and assumptions | 1 (Benchmark) | Emerging awareness of assumptions (e.g., implies human-cat mutual conditioning), but no systematic identification of own/others' assumptions or contexts (e.g., no discussion of cat biology, individual differences, or environmental factors). Begins to label behaviors as learned but stops there. |</w:t>
        <w:br/>
        <w:t>| Student's position (perspective, thesis/hypothesis) | 2 (Milestone) | Specific position stated (behaviors explained by classical, operant, and social learning). Acknowledges different mechanisms ("sides" of learning), but simplistic/obvious; no complexities (e.g., individual cat variation) or synthesis of opposing views. |</w:t>
        <w:br/>
        <w:t>| Conclusions and related outcomes | 1 (Benchmark) | Conclusion (mutual conditioning, social learning in young cats) inconsistently tied to info (references listed but not deeply integrated); outcomes (e.g., "younger cats learn by observing") oversimplified, with no prioritization of evidence or implications.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