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Each morning, the can-opening sound becomes a conditioned stimulus predicting food, eliciting cats’ approach, vocalizing, and rubbing (classical conditioning). Their purring and leg-rubbing may be operantly reinforced when Catlove serves food or gives attention. Catlove may be reinforced by affectionate cats. Cats may also learn by observing others rushing in (social learning).</w:t>
        <w:br/>
        <w:t>Peer‑reviewed sources</w:t>
        <w:br/>
        <w:t>Pavlov, I. P. (1927). Conditioned reflexes. Oxford University Press.</w:t>
        <w:br/>
        <w:t>Skinner, B. F. (1938). The behavior of organisms: An experimental analysis. Appleton-Century.</w:t>
        <w:br/>
        <w:t>Bandura, A. (1977). Self-efficacy: Toward a unifying theory of behavioral change. Psychological Review, 84(2), 191–215.</w:t>
        <w:br/>
        <w:t>Galef, B. G., Jr., &amp; Laland, K. N. (2005). Social learning in animals: Empirical studies and theoretical models. BioScience, 55(6), 489–499.</w:t>
        <w:br/>
        <w:t>Zentall, T. R. (2012). Perspectives on observational learning in animals. Journal of Comparative Psychology, 126(2), 114–128.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