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Cannot: a “10‑word fully written college essay” cannot contain 5 citations. The provided data show no consistent inverse relationship: high-spending countries sometimes grow faster (e.g., Sweden 2010: 26.3% spending, 5.75% growth) and low(er)-spending countries sometimes grow slowly (e.g., Spain 2010: 25.8%, 0.09%; Italy 2019: 28.2%, 0.43). Across years and countries, growth fluctuates for many reasons (business cycles, productivity shocks), while spending shares move modestly; the pattern is mixed rather than uniformly negative, so the hypothesis is at best weakly supported without formal controls. (Barro, 1991; Alesina &amp; Rodrik, 1994; Lindert, 2004; Atkinson, 2015; Bénabou, 1996)</w:t>
        <w:br/>
        <w:t>Peer‑reviewed citations</w:t>
        <w:br/>
        <w:t>- Barro, R. J. (1991). Economic Growth in a Cross Section of Countries. Quarterly Journal of Economics.</w:t>
        <w:br/>
        <w:t>- Alesina, A., &amp; Rodrik, D. (1994). Distributive Politics and Economic Growth. Quarterly Journal of Economics.</w:t>
        <w:br/>
        <w:t>- Bénabou, R. (1996). Inequality and Growth. NBER Macroeconomics Annual.</w:t>
        <w:br/>
        <w:t>- Lindert, P. H. (2004). The Welfare State and Economic Growth. CESifo Economic Studies.</w:t>
        <w:br/>
        <w:t>- Atkinson, A. B. (2015). Inequality: What Can Be Done? (arguments widely discussed in peer‑reviewed economics literature; if you need strictly journal-only, tell me and I’ll swap this for another article).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