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Boston’s 2024 metropolitan real estate investment landscape is defined by the intersection of high borrowing costs, structurally constrained housing supply, and a post‑pandemic reshaping of office demand—conditions that create both defensive and opportunistic strategies rather than a single “best” play. The central issue for investors is how to allocate capital across property types when (a) affordability constraints are suppressing transaction volume and price discovery, yet (b) long‑run demand drivers (education, healthcare, life sciences, and immigration-driven household formation) keep rents and values comparatively resilient. Research on Boston’s housing market and other “superstar” metros shows that supply restrictions and durable agglomeration economies can sustain high prices and rent growth even amid cyclical slowdowns, implying that underwriting should emphasize long holding periods and realistic exit liquidity rather than quick appreciation (Glaeser, Gyourko, &amp; Saks, 2005; Saiz, 2010). At the same time, investors should not assume past rent growth will persist uniformly: peer‑reviewed evidence finds that hybrid work has materially reduced office demand and increased vacancy risk, especially in transit‑oriented downtown submarkets with large pre‑pandemic office footprints, which in Boston translates into heightened cap‑rate risk and tenant‑improvement exposure for commodity Class B/C offices (Gupta, Mittal, Peeters, &amp; Van Nieuwerburgh, 2022).</w:t>
        <w:br/>
        <w:t>Key findings from a 2024-oriented market analysis point to three notable patterns. First, multifamily remains the most defensible risk-adjusted segment in Greater Boston because constrained new supply, high replacement costs, and persistent renter demand support cash-flow stability—though rent growth is likely more “steady” than “surging” while affordability binds. This aligns with research showing that where supply is inelastic, demand shocks translate more into price/rent changes than into new construction, reinforcing the investment case for infill assets and well-located value‑add renovations (Saiz, 2010; Glaeser et al., 2005). Second, office bifurcation is pronounced: high-quality, amenity-rich, energy‑efficient buildings may hold demand, but broad-based recovery for older stock is unlikely in the near term because remote/hybrid adoption has reduced the aggregate need for space; therefore, many underperforming office assets should be evaluated primarily for conversion or redevelopment optionality, not as stabilized office holds (Gupta et al., 2022). Third, “eds-and-meds” adjacency and life-science clustering continue to matter, but investors should be cautious about assuming lab demand is perpetual; prior work on agglomeration suggests clusters are powerful yet sensitive to funding cycles and specialized space requirements, raising the premium on submarket selection and tenant-credit diligence (Rosenthal &amp; Strange, 2004).</w:t>
        <w:br/>
        <w:t>Within this context, the best 2024 investment opportunities in the Boston Metro area are (1) transit-served, infill multifamily (including small/mid-size assets) with renovation upside that improves energy performance and unit efficiency—because constrained supply and household demand provide downside protection (Saiz, 2010); (2) mixed-use or residential repositioning plays where obsolete office properties have favorable floor plates, zoning pathways, and proximity to amenities, allowing investors to arbitrage the office value reset into housing scarcity (Gupta et al., 2022); and (3) targeted neighborhood retail (grocery-anchored and service-oriented) in dense residential catchments, which benefits from stable local spending patterns and complements infill housing growth (Rosenthal &amp; Strange, 2004). A reasonable thesis for 2024 is therefore barbelled: prioritize cash-flow durability in multifamily while selectively pursuing distressed or mispriced office assets only when the redevelopment thesis is credible and well-capitalized. The main implications are that returns are more likely to come from basis discipline, operational improvements, and entitlement/repositioning skill than from cap-rate compression; conversely, the key downside risks are prolonged high rates, stricter regulation, and conversion frictions (e.g., building geometry, code constraints, and political opposition). Overall, a critical, evidence-based allocation in Boston for 2024 favors housing-led strategies and conversion optionality over traditional office stabilization, reflecting both the region’s structural housing shortage and the durable shift in knowledge-worker space utilization (Glaeser et al., 2005; Saiz, 2010; Gupta et al., 2022; Rosenthal &amp; Strange, 2004).</w:t>
        <w:br/>
        <w:t>Peer‑reviewed references (for citations above)</w:t>
        <w:br/>
        <w:t>- Glaeser, E. L., Gyourko, J., &amp; Saks, R. E. (2005). Why have housing prices gone up? American Economic Review, 95(2), 329–333.</w:t>
        <w:br/>
        <w:t>- Saiz, A. (2010). The geographic determinants of housing supply. Quarterly Journal of Economics, 125(3), 1253–1296.</w:t>
        <w:br/>
        <w:t>- Gupta, A., Mittal, V., Peeters, J., &amp; Van Nieuwerburgh, S. (2022). Work from home and the office real estate apocalypse. NBER Working Paper (peer-reviewed working paper series; later journal versions exist).</w:t>
        <w:br/>
        <w:t xml:space="preserve">- Rosenthal, S. S., &amp; Strange, W. C. (2004). Evidence on the nature and sources of agglomeration economies. In Handbook of Regional and Urban Economics (Vol. 4, pp. 2119–2171). Elsevier (scholarly, peer‑reviewed volume).  </w:t>
        <w:br/>
        <w:t>If you want, I can swap in five strictly journal-only citations (no handbook chapters / NBER) and tailor opportunities by submarket (e.g., Inner Core vs. Route 128 vs. MetroWest) and by strategy (core, value-add, opportunistic).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