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Critical Thinking Rubric Grading</w:t>
        <w:br/>
        <w:t>Overall Score: 20/20 (Capstone across all categories)</w:t>
        <w:br/>
        <w:t>This essay demonstrates exemplary critical thinking, with comprehensive issue framing, rigorous evidence synthesis, nuanced handling of assumptions/contexts, a sophisticated position, and logically prioritized conclusions. It far exceeds benchmark expectations and aligns perfectly with capstone performance.</w:t>
        <w:br/>
        <w:t>1. Explanation of Issues: Capstone (4)</w:t>
        <w:br/>
        <w:t>Issue/problem (capital allocation in Boston's 2024 real estate amid high costs, supply constraints, and office shifts) is stated clearly and described comprehensively. All relevant information (e.g., affordability, demand drivers like education/healthcare, rent resilience, hybrid work risks) is delivered for full understanding, with no omissions impeding clarity.</w:t>
        <w:br/>
        <w:t>2. Evidence (Selecting and using information): Capstone (4)</w:t>
        <w:br/>
        <w:t>Information from peer-reviewed sources (e.g., Glaeser et al., Saiz, Gupta et al., Rosenthal &amp; Strange) is interpreted/evaluated deeply to develop a comprehensive analysis/synthesis (e.g., applying supply inelasticity to multifamily, hybrid work to office vacancy). Expert viewpoints are questioned thoroughly (e.g., past rent growth not uniform; lab demand sensitive to cycles), avoiding rote acceptance.</w:t>
        <w:br/>
        <w:t>3. Influence of Context and Assumptions: Capstone (4)</w:t>
        <w:br/>
        <w:t>Own and others' assumptions (e.g., perpetual rent growth, office recovery, endless lab demand) are analyzed systematically and methodically. Relevance of contexts (e.g., affordability binds, high rates, regulation, funding cycles, submarket specifics) is carefully evaluated when presenting positions, with explicit cautions (e.g., conversion frictions).</w:t>
        <w:br/>
        <w:t>4. Student's Position (Perspective, Thesis/Hypothesis): Capstone (4)</w:t>
        <w:br/>
        <w:t>Specific position (barbelled strategy: infill multifamily #1, office-to-residential conversions #2, neighborhood retail #3) is imaginative, fully accounting for issue complexities (e.g., supply scarcity vs. office apocalypse). Limits/risks are acknowledged (e.g., rates, zoning); others' views (e.g., traditional office holds) are synthesized into the thesis.</w:t>
        <w:br/>
        <w:t>5. Conclusions and Related Outcomes: Capstone (4)</w:t>
        <w:br/>
        <w:t>Conclusions (housing-led + conversion over office stabilization) are logical, reflecting informed evaluation with evidence/perspectives in priority order (e.g., supply research prioritized for multifamily). Outcomes (e.g., returns from operations/entitlements; risks like prolonged rates) are clear, balanced against opposing viewpoints (e.g., office bifurcation).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