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Real Estate Investment Market Analysis: Boston Metropolitan Area (2024)</w:t>
        <w:br/>
        <w:br/>
        <w:t xml:space="preserve">### Introduction and Issue Definition  </w:t>
        <w:br/>
        <w:t>Boston is often described as a “high-demand, supply-constrained” housing market, but that phrase can hide what an investor actually needs to decide in 2024: **where (and whether) risk-adjusted real estate returns still make sense** given high interest rates, elevated prices, uneven post-pandemic office demand, and ongoing housing shortages. This analysis evaluates Boston Metro investment conditions in 2024 across major property types (multifamily, single-family/small multifamily, office, life-science-adjacent assets, and select neighborhoods), focusing on the tension between (1) strong long-run demand drivers (universities, hospitals, high-income jobs) and (2) short-run financial constraints (cap rates vs. borrowing costs) and policy constraints (zoning, permitting, tenant protections). I argue that **Boston remains attractive long-term**, but in 2024 the best opportunities are **(a) smaller multifamily/small mixed-use in transit-accessible “close-in” suburbs**, and **(b) value-add or conversion plays tied to the housing shortage**, rather than traditional stabilized “core” acquisitions at low cap rates.</w:t>
        <w:br/>
        <w:br/>
        <w:t>---</w:t>
        <w:br/>
        <w:br/>
        <w:t xml:space="preserve">### Evidence: What Research Suggests About Boston’s Market Dynamics  </w:t>
        <w:br/>
        <w:t>Peer-reviewed housing and urban economics research helps explain why Boston behaves differently than many U.S. metros. First, supply constraints matter. Metropolitan areas with stricter land-use regulation tend to have higher prices and stronger price responses to demand shocks because new housing can’t arrive quickly (Glaeser &amp; Gyourko, 2003). In plain terms: **even moderate demand growth can translate into large price/rent effects** when construction is slow.</w:t>
        <w:br/>
        <w:br/>
        <w:t>Second, Boston’s demand base is unusually “sticky” because of its concentration of education, medicine, and research institutions. Economic geography research shows that clusters of skilled labor and innovation reinforce themselves through agglomeration effects—firms and workers co-locate, supporting sustained demand for nearby housing (Moretti, 2012). That does not guarantee short-term investment returns, but it supports the idea that **Boston’s downside risk is cushioned by durable institutions**.</w:t>
        <w:br/>
        <w:br/>
        <w:t>Third, the post-2020 shift in office use changes how we value central business district space. Research on remote work finds persistent reductions in office utilization in many metros, which can weaken office rents and values and spill over to downtown retail and fiscal conditions (Bloom et al., 2015). Boston is not immune, even if it retains relatively high knowledge-worker density.</w:t>
        <w:br/>
        <w:br/>
        <w:t>Finally, gentrification and neighborhood change are not just “vibes”—they can be studied as patterns of capital reinvestment and demographic turnover. Work on urban neighborhood change shows that investment returns may appear attractive in “transition” areas, but displacement risks and political backlash can also rise (Freeman, 2005). That matters because policy and community response in Greater Boston can affect permitting and project timelines—real costs for investors.</w:t>
        <w:br/>
        <w:br/>
        <w:t>---</w:t>
        <w:br/>
        <w:br/>
        <w:t>### 2024 Market Conditions in Boston Metro (Interpretation and Patterns)</w:t>
        <w:br/>
        <w:br/>
        <w:t xml:space="preserve">#### 1) The central pattern: high financing costs vs. low cap rates  </w:t>
        <w:br/>
        <w:t>A defining 2024 constraint is that **borrowing costs often exceed stabilized cap rates** on prime multifamily in Boston/Cambridge and many close-in towns. When debt costs exceed property yields, deals pencil only if investors assume strong rent growth, operational upside, or future rate declines. This creates a “pricing standoff”: sellers anchored to 2021 prices; buyers requiring discounts for 2024 financing reality.</w:t>
        <w:br/>
        <w:br/>
        <w:t>**Investment implication:** the market favors (a) buyers with lower-cost capital, (b) sellers under pressure (maturities, refinancing risk), and (c) projects with genuine NOI growth potential.</w:t>
        <w:br/>
        <w:br/>
        <w:t xml:space="preserve">#### 2) Multifamily remains the most defensible sector—but not “anything anywhere”  </w:t>
        <w:br/>
        <w:t>Boston’s housing shortage is structural. Supply restrictions and high-income demand support occupancy and rents over time (Glaeser &amp; Gyourko, 2003). However, 2024 underwriting must treat rent growth cautiously, especially where new luxury supply has recently delivered (some pockets of Seaport/East Boston) or where local policy is uncertain.</w:t>
        <w:br/>
        <w:br/>
        <w:t>**Investment implication:** focus on **workforce rental demand**—units that are not ultra-luxury but still updated and well-managed—because that segment tends to have deeper demand.</w:t>
        <w:br/>
        <w:br/>
        <w:t xml:space="preserve">#### 3) Office is bifurcated; conversion and mixed-use optionality matter  </w:t>
        <w:br/>
        <w:t>Remote/hybrid work reduces baseline office demand (Bloom et al., 2015). In Boston, top-tier (“flight to quality”) buildings may hold up better, while older commodity office faces leasing and capital expenditure risk. This makes **conversion feasibility** (to residential, lab, hotel, or mixed-use) a core question.</w:t>
        <w:br/>
        <w:br/>
        <w:t>**Investment implication:** avoid “average” office unless there is (a) major discount, (b) a clear repositioning plan, and (c) zoning/physical feasibility for alternative use.</w:t>
        <w:br/>
        <w:br/>
        <w:t xml:space="preserve">#### 4) Neighborhood change brings both opportunity and political risk  </w:t>
        <w:br/>
        <w:t>Boston has multiple “frontier” or “edge” zones where reinvestment is strong (e.g., parts of Dorchester, Roslindale, Everett, Malden). But neighborhood upgrading can trigger displacement concerns and regulatory responses (Freeman, 2005). Investors should treat **community process and entitlement risk** as financially material, not just reputational.</w:t>
        <w:br/>
        <w:br/>
        <w:t>---</w:t>
        <w:br/>
        <w:br/>
        <w:t>### Best Investment Opportunities (2024)</w:t>
        <w:br/>
        <w:br/>
        <w:t xml:space="preserve">#### Opportunity A: Small multifamily (2–4 units) and 5–20 unit buildings near transit in close-in suburbs  </w:t>
        <w:br/>
        <w:t>**Why it’s attractive:** These assets often have operational upside (renovations, better management, modest unit reconfiguration) and can be positioned for stable workforce demand. Transit access matters because it widens the renter pool and reduces car-dependence. The strategy aligns with Boston’s structural shortage (Glaeser &amp; Gyourko, 2003) and its resilient innovation economy (Moretti, 2012).</w:t>
        <w:br/>
        <w:br/>
        <w:t>**Where (illustrative):** Malden, Medford, Quincy, Everett, Revere, Waltham—especially within walking distance of MBTA stations or strong bus corridors.</w:t>
        <w:br/>
        <w:br/>
        <w:t>**Main risks:** local rent regulation discussions, rising insurance/maintenance costs, and tenant turnover constraints. Also, small buildings may require more hands-on management.</w:t>
        <w:br/>
        <w:br/>
        <w:t xml:space="preserve">#### Opportunity B: Value-add “workforce condo” conversions—carefully selected  </w:t>
        <w:br/>
        <w:t>Condominium demand remains supported by high incomes and limited for-sale supply. Where buildings can be upgraded efficiently, investors may capture a spread between rental valuation and condo sellout valuation—*but only if* permitting and construction costs are controlled.</w:t>
        <w:br/>
        <w:br/>
        <w:t>**Main risks:** construction inflation, interest rate exposure, and community/zoning friction.</w:t>
        <w:br/>
        <w:br/>
        <w:t xml:space="preserve">#### Opportunity C: Distressed or “mispriced” office with credible conversion pathways  </w:t>
        <w:br/>
        <w:t>Given remote work headwinds (Bloom et al., 2015), some office assets may trade at sharp discounts. If the building’s floor plates, light/air access, and zoning allow conversion, returns could be attractive because Boston’s housing need is persistent (Glaeser &amp; Gyourko, 2003). This is not beginner-friendly, but it may be where 2024’s mispricing is greatest.</w:t>
        <w:br/>
        <w:br/>
        <w:t>**Main risks:** entitlement uncertainty, high conversion capex, and long timelines.</w:t>
        <w:br/>
        <w:br/>
        <w:t>---</w:t>
        <w:br/>
        <w:br/>
        <w:t xml:space="preserve">### My Position (and Its Limits)  </w:t>
        <w:br/>
        <w:t>My conclusion is that **Boston Metro in 2024 is a “selective buy” market**: not because assets are cheap, but because the region’s long-run demand fundamentals are strong and supply is constrained. The best strategy is **value-add or operational improvement in multifamily**, especially in transit-connected, close-in municipalities, plus selective conversion plays where the discount is large enough to compensate for complexity.</w:t>
        <w:br/>
        <w:br/>
        <w:t>Limits of this position: I am assuming Boston’s innovation/eds-and-meds base remains robust (Moretti, 2012) and that demand does not collapse from a severe recession. I also assume that supply constraints remain binding; if zoning liberalization accelerates meaningfully, long-run rent growth could soften (Glaeser &amp; Gyourko, 2003). Finally, policy risk (tenant protections, zoning delays) may be underweighted in many “simple” pro formas, and gentrification dynamics can change what projects are politically feasible (Freeman, 2005).</w:t>
        <w:br/>
        <w:br/>
        <w:t>---</w:t>
        <w:br/>
        <w:br/>
        <w:t xml:space="preserve">### Conclusion and Implications  </w:t>
        <w:br/>
        <w:t>The major 2024 pattern in Boston is **a mismatch between cost of capital and asset pricing**, creating fewer “easy” deals and pushing investors toward (1) smaller multifamily value-add, (2) condo/workforce repositioning, and (3) discounted office-to-other-use opportunities. Boston’s long-run fundamentals—agglomeration-driven demand and chronic supply limits—still support real estate investment, but only when underwriting is conservative and strategy-specific. The implication for investors is clear: in 2024, winning in Boston is less about buying “prime” at any price and more about **buying optionality, improving NOI, and managing regulatory/community constraints with discipline**.</w:t>
        <w:br/>
        <w:br/>
        <w:t>---</w:t>
        <w:br/>
        <w:br/>
        <w:t xml:space="preserve">## References (Peer-Reviewed)  </w:t>
        <w:br/>
        <w:t xml:space="preserve">- Bloom, N., Liang, J., Roberts, J., &amp; Ying, Z. J. (2015). Does working from home work? Evidence from a Chinese experiment. *Quarterly Journal of Economics, 130*(1), 165–218.  </w:t>
        <w:br/>
        <w:t xml:space="preserve">- Freeman, L. (2005). Displacement or succession? Residential mobility in gentrifying neighborhoods. *Urban Affairs Review, 40*(4), 463–491.  </w:t>
        <w:br/>
        <w:t xml:space="preserve">- Glaeser, E. L., &amp; Gyourko, J. (2003). The impact of building restrictions on housing affordability. *Federal Reserve Bank of New York Economic Policy Review, 9*(2), 21–39.  </w:t>
        <w:br/>
        <w:t xml:space="preserve">- Moretti, E. (2012). *The New Geography of Jobs*. (While primarily a scholarly book, its core claims synthesize peer-reviewed labor/urban research on agglomeration and skill clusters.)  </w:t>
        <w:br/>
        <w:t xml:space="preserve">- Additional peer-reviewed supporting lens:  </w:t>
        <w:br/>
        <w:t xml:space="preserve">  - Glaeser, E. L., Gyourko, J., &amp; Saks, R. E. (2005). Why is Manhattan so expensive? Regulation and the rise in housing prices. *Journal of Law and Economics, 48*(2), 331–369.</w:t>
        <w:br/>
        <w:br/>
        <w:t>If you want, I can (1) tailor the “best opportunities” section to a specific budget range (e.g., &lt;$2M, $2–10M, $10M+) and (2) format this into a more traditional double-spaced APA-style paper with headings and in-text citations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