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can’s opening sound becomes a conditioned stimulus predicting food, eliciting cats’ approach and vocalizing. Their rubbing is operant behavior reinforced by feeding and petting. Professor Catlove may be operantly conditioned to open cans quickly by cats’ attention. Cats could also socially learn meowing by observing other cats’ success.</w:t>
        <w:br/>
        <w:t>References (peer-reviewed)</w:t>
        <w:br/>
        <w:t>Pavlov, I. P. (1927). Conditioned reflexes. Oxford University Press.</w:t>
        <w:br/>
        <w:t>Skinner, B. F. (1938). The behavior of organisms: An experimental analysis. Appleton-Century.</w:t>
        <w:br/>
        <w:t>Bandura, A. (1977). Social learning theory. Prentice-Hall.</w:t>
        <w:br/>
        <w:t>Skinner, B. F. (1948). “Superstition” in the pigeon. Journal of Experimental Psychology, 38(2), 168–172.</w:t>
        <w:br/>
        <w:t>Thorndike, E. L. (1898). Animal intelligence: An experimental study of the associative processes in animals. Psychological Review Monograph Supplements, 2(4), 1–109.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