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can’s sound triggers classical conditioning, eliciting the cats’ physiological anticipation. Operant conditioning drives the interaction: food positively reinforces the cats’ affection, while the cessation of begging negatively reinforces the Professor’s prompt feeding. Social learning seems absent, as these behaviors rely primarily on associative learning rather than observation.</w:t>
        <w:br/>
        <w:t>References</w:t>
        <w:br/>
        <w:t>Bandura, A. (1977). Social Learning Theory. Prentice-Hall.</w:t>
        <w:br/>
        <w:t>Bradshaw, J. W. S. (2018). Normal feline behavior: … and why problem behaviors develop. Journal of Feline Medicine and Surgery, 20(5), 411–421.</w:t>
        <w:br/>
        <w:t>Domjan, M. (2005). Pavlovian conditioning: A functional perspective. Annual Review of Psychology, 56, 179–206.</w:t>
        <w:br/>
        <w:t>Skinner, B. F. (1938). The Behavior of Organisms: An Experimental Analysis. Appleton-Century.</w:t>
        <w:br/>
        <w:t>Thorndike, E. L. (1898). Animal intelligence: An experimental study of the associative processes in animals. The Psychological Review: Monograph Supplements, 2(4), i–109.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