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Boston’s metropolitan real estate investment market in 2024 remained shaped by three intersecting forces: (1) persistently constrained housing supply, (2) a higher-for-longer interest-rate environment that suppressed transaction volume and repriced risk, and (3) uneven post‑pandemic space demand, particularly in offices near the urban core. From an investment lens, the most durable pattern was that scarcity and strong underlying demand continued to support rents and values in housing even as cap rates rose, consistent with research showing that supply restrictions and inelastic new construction amplify price and rent pressures in high‑productivity, high‑amenity metros like Boston (Glaeser &amp; Gyourko, 2003; Saiz, 2010). Another notable pattern was the widening dispersion across property types: multifamily and select “needs‑based” neighborhood retail stayed comparatively resilient, while large‑format office faced elevated vacancy and refinancing stress—an outcome aligned with the broader evidence that commercial real estate pricing and liquidity are highly sensitive to credit conditions and financing constraints, especially during tightening cycles (Benmelech &amp; Bergman, 2011; Pavlov &amp; Wachter, 2011).</w:t>
        <w:br/>
        <w:t>Key insights from a 2024 market analysis point to multifamily as the strongest risk‑adjusted segment in the Boston Metro for long‑term investors, particularly in transit‑served submarkets where employment access remains a premium and demand is reinforced by agglomeration economies (Rosenthal &amp; Strange, 2004). Elevated mortgage rates kept many potential first‑time buyers in the renter pool, supporting occupancy and rent growth even as affordability constraints limited how fast rents could rise. The best opportunities therefore tended to be “basis‑driven”: acquisitions of well‑located but operationally under-optimized multifamily (e.g., older mid‑rise or triple‑decker stock in inner suburbs) where returns could be created through targeted capex, energy retrofits, and professional management rather than relying on broad market appreciation. A second opportunity set emerged from distress and repricing in office: while the secular outlook for commodity office remained challenged, investors with patience and entitlement expertise found value in office‑to‑residential conversion candidates in locations with strong amenities and transit, a strategy supported by research that the “highest and best use” can change materially when demand shocks and land-use constraints interact (Glaeser, Gyourko, &amp; Saks, 2005). Finally, suburban life‑science and specialized R&amp;D space—historically strong around Cambridge and select clusters—required a more selective approach in 2024 as new supply delivered and tenants became cost‑disciplined; nevertheless, Boston’s entrenched innovation ecosystem implies that assets with high technical specs and proximity to talent can retain long‑horizon appeal, consistent with evidence on clustering and productivity spillovers (Rosenthal &amp; Strange, 2004). Overall, the 2024 pattern in Boston was not a broad downturn but a repricing and sorting: the best investments were those aligned with durable demand (housing) or those exploiting functional obsolescence (office) through conversion or repositioning, while success depended more on micro‑location, building adaptability, and capital structure than on “market beta” alone.</w:t>
        <w:br/>
        <w:t>Peer‑reviewed sources cited</w:t>
        <w:br/>
        <w:t>Benmelech, E., &amp; Bergman, N. K. (2011). Bankruptcy and the collateral channel. Journal of Finance, 66(2), 337–378.</w:t>
        <w:br/>
        <w:t>Glaeser, E. L., &amp; Gyourko, J. (2003). The impact of building restrictions on housing affordability. Federal Reserve Bank of New York Economic Policy Review, 9(2), 21–39.</w:t>
        <w:br/>
        <w:t>Glaeser, E. L., Gyourko, J., &amp; Saks, R. (2005). Why have housing prices gone up? American Economic Review (Papers &amp; Proceedings), 95(2), 329–333.</w:t>
        <w:br/>
        <w:t>Pavlov, A., &amp; Wachter, S. (2011). Subprime lending and real estate prices. Real Estate Economics, 39(1), 1–17.</w:t>
        <w:br/>
        <w:t>Rosenthal, S. S., &amp; Strange, W. C. (2004). Evidence on the nature and sources of agglomeration economies. Handbook of Regional and Urban Economics, 4, 2119–2171.</w:t>
        <w:br/>
        <w:t>Saiz, A. (2010). The geographic determinants of housing supply. Quarterly Journal of Economics, 125(3), 1253–1296.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