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provided rubric, here is my evaluation of this essay:</w:t>
        <w:br/>
        <w:t>Overall Grade: Milestone 3 (3/4)</w:t>
        <w:br/>
        <w:t>Category-by-Category Analysis:</w:t>
        <w:br/>
        <w:t>1. Explanation of Issues: Milestone 3 (3/4)</w:t>
        <w:br/>
        <w:t>The issue is clearly stated and well-described. The essay identifies Boston's 2024 real estate investment market dynamics through three specific intersecting forces. The context is comprehensive enough that understanding is not impeded, though some technical terms could benefit from slightly more explanation for broader audiences.</w:t>
        <w:br/>
        <w:t>2. Evidence: Milestone 3 (3/4)</w:t>
        <w:br/>
        <w:t>Strong use of peer-reviewed academic sources with meaningful interpretation and synthesis. The author doesn't just cite sources but integrates them to support analytical points about supply constraints, credit sensitivity, and agglomeration economies. However, the analysis could be enhanced by questioning some expert viewpoints or discussing potential limitations of the cited research.</w:t>
        <w:br/>
        <w:t>3. Influence of Context and Assumptions: Milestone 2-3 (2.5/4)</w:t>
        <w:br/>
        <w:t>The essay identifies several relevant contexts (post-pandemic demand, interest rates, supply constraints) and shows awareness of market assumptions. However, it could more explicitly acknowledge the author's own analytical assumptions or discuss potential alternative interpretations of the same data patterns.</w:t>
        <w:br/>
        <w:t>4. Student's Position: Milestone 3 (3/4)</w:t>
        <w:br/>
        <w:t>The position is sophisticated and acknowledges complexity - specifically that 2024 was "not a broad downturn but a repricing and sorting." The analysis recognizes different market segments and incorporates multiple viewpoints about various property types. The thesis accounts for nuanced market dynamics rather than offering oversimplified conclusions.</w:t>
        <w:br/>
        <w:t>5. Conclusions and Related Outcomes: Milestone 3 (3/4)</w:t>
        <w:br/>
        <w:t>Conclusions are well-supported and logically tied to the evidence presented. The author identifies specific investment implications and acknowledges opposing market forces. The outcomes are clearly identified (basis-driven multifamily opportunities, office conversion potential, selective life-science investments) and reflect informed evaluation of the evidence.</w:t>
        <w:br/>
        <w:t>Strengths:</w:t>
        <w:br/>
        <w:br/>
        <w:t>Excellent integration of academic research with market analysis</w:t>
        <w:br/>
        <w:t>Sophisticated understanding of market complexity</w:t>
        <w:br/>
        <w:t>Clear, well-structured argument</w:t>
        <w:br/>
        <w:t>Strong use of evidence to support conclusions</w:t>
        <w:br/>
        <w:br/>
        <w:t>Areas for Improvement:</w:t>
        <w:br/>
        <w:br/>
        <w:t>Could more explicitly question expert viewpoints or research limitations</w:t>
        <w:br/>
        <w:t>Would benefit from acknowledging the author's own analytical assumptions</w:t>
        <w:br/>
        <w:t>Some conclusions, while logical, could explore a broader range of potential outcomes</w:t>
        <w:br/>
        <w:br/>
        <w:t>This is high-quality analytical work that demonstrates strong critical thinking skills with room for minor improvements in reflexivity and critical questioning of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